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8"/>
        <w:tblW w:w="15764" w:type="dxa"/>
        <w:tblInd w:w="-6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221"/>
        <w:gridCol w:w="8223"/>
      </w:tblGrid>
      <w:tr>
        <w:trPr>
          <w:trHeight w:val="321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75" w:lineRule="exact"/>
              <w:rPr>
                <w:sz w:val="24"/>
              </w:rPr>
            </w:pPr>
            <w:r/>
            <w:bookmarkStart w:id="0" w:name="_GoBack"/>
            <w:r/>
            <w:bookmarkEnd w:id="0"/>
            <w:r>
              <w:rPr>
                <w:sz w:val="24"/>
              </w:rPr>
              <w:t xml:space="preserve">1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435" w:right="1888" w:hanging="141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MBA </w:t>
            </w:r>
            <w:r>
              <w:rPr>
                <w:b/>
                <w:sz w:val="28"/>
              </w:rPr>
              <w:t xml:space="preserve">Менеджмент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  <w:lang w:val="ru-RU"/>
              </w:rPr>
              <w:t xml:space="preserve">в </w:t>
            </w:r>
            <w:r>
              <w:rPr>
                <w:b/>
                <w:sz w:val="28"/>
              </w:rPr>
              <w:t xml:space="preserve">здравоохранении</w:t>
            </w:r>
            <w:r/>
          </w:p>
        </w:tc>
      </w:tr>
      <w:tr>
        <w:trPr>
          <w:trHeight w:val="275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Вид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ОП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(действующая,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новая,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инновационная)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6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/>
          </w:p>
        </w:tc>
      </w:tr>
      <w:tr>
        <w:trPr>
          <w:trHeight w:val="811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ОП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11" w:right="93"/>
              <w:jc w:val="both"/>
              <w:spacing w:line="270" w:lineRule="atLeast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Подготовка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высокоспециализированных, </w:t>
            </w:r>
            <w:r>
              <w:rPr>
                <w:sz w:val="24"/>
                <w:lang w:val="kk-KZ"/>
              </w:rPr>
              <w:t xml:space="preserve">конкурентноспособных специалистов нового поколения с высоким уровнем профессиональных компетенций в системе здравоохранения.</w:t>
            </w:r>
            <w:r/>
          </w:p>
        </w:tc>
      </w:tr>
      <w:tr>
        <w:trPr>
          <w:trHeight w:val="276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Особенности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ОП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(нет,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совместная,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двудипломная)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6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нет</w:t>
            </w:r>
            <w:r/>
          </w:p>
        </w:tc>
      </w:tr>
      <w:tr>
        <w:trPr>
          <w:trHeight w:val="275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Вуз-партнер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5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/>
          </w:p>
        </w:tc>
      </w:tr>
      <w:tr>
        <w:trPr>
          <w:trHeight w:val="6507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11"/>
              <w:jc w:val="bot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После</w:t>
            </w:r>
            <w:r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успешного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завершения</w:t>
            </w:r>
            <w:r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этой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программы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магистрант</w:t>
            </w:r>
            <w:r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будет:</w:t>
            </w:r>
            <w:r/>
          </w:p>
          <w:p>
            <w:pPr>
              <w:pStyle w:val="639"/>
              <w:ind w:left="111" w:right="94"/>
              <w:jc w:val="both"/>
              <w:spacing w:before="1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1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Определять методы управления бизнесом с учетом стратегических направлений деятельности организации в современной рыночной среде в РК и в мире. Применять знания, понимание и способность решать проблемы в рамках междисциплинарных областей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Демонстрировать знания по вопросам устройства организаций, механизмов их взамодействия с заинтересованными сторонами </w:t>
            </w:r>
            <w:r>
              <w:rPr>
                <w:sz w:val="24"/>
                <w:lang w:val="ru-RU"/>
              </w:rPr>
              <w:t xml:space="preserve">(стейкхолдерами), принципов работы в условиях внешнего контекста в долгосрочной перспективе;</w:t>
            </w:r>
            <w:r/>
          </w:p>
          <w:p>
            <w:pPr>
              <w:pStyle w:val="639"/>
              <w:ind w:left="111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3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</w:t>
            </w:r>
            <w:r>
              <w:rPr>
                <w:sz w:val="24"/>
                <w:lang w:val="kk-KZ"/>
              </w:rPr>
              <w:t xml:space="preserve">л</w:t>
            </w:r>
            <w:r>
              <w:rPr>
                <w:sz w:val="24"/>
                <w:lang w:val="ru-RU"/>
              </w:rPr>
              <w:t xml:space="preserve">адеть аналитическими методами менеджмента,</w:t>
            </w:r>
            <w:r>
              <w:rPr>
                <w:sz w:val="24"/>
                <w:lang w:val="kk-KZ"/>
              </w:rPr>
              <w:t xml:space="preserve"> диагностики, анализа и решения проблем, а также методами принятия решений и их реализации на практике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4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Анализировать проблемные аспекты бизнеса и генерировать решения, в том числе по международной практике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 5-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Определять и решать проблемы ведения бизнеса и управления им с позиций конкуренции в международной среде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93"/>
              <w:jc w:val="bot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Интегрировать различные функциональные аспекты менеджмента, исходя из знания теории, современныз исследований и требований практики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7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Заниматься профессиональным ростом, демонстрировать навыки самоанализа, опыт для преподовани на уровне высшего образования</w:t>
            </w:r>
            <w:r>
              <w:rPr>
                <w:sz w:val="24"/>
                <w:lang w:val="ru-RU"/>
              </w:rPr>
              <w:t xml:space="preserve">;</w:t>
            </w:r>
            <w:r/>
          </w:p>
          <w:p>
            <w:pPr>
              <w:pStyle w:val="639"/>
              <w:ind w:left="111" w:right="98"/>
              <w:jc w:val="both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РО</w:t>
            </w:r>
            <w:r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8</w:t>
            </w:r>
            <w:r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–</w:t>
            </w:r>
            <w:r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  <w:lang w:val="kk-KZ"/>
              </w:rPr>
              <w:t xml:space="preserve">Уметь использовать методы управления человеческими ресурсами, применять методы корпоративного управления</w:t>
            </w:r>
            <w:r>
              <w:rPr>
                <w:sz w:val="24"/>
                <w:lang w:val="ru-RU"/>
              </w:rPr>
              <w:t xml:space="preserve">.</w:t>
            </w:r>
            <w:r/>
          </w:p>
        </w:tc>
      </w:tr>
      <w:tr>
        <w:trPr>
          <w:trHeight w:val="278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6"/>
              <w:jc w:val="center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Очная</w:t>
            </w:r>
            <w:r/>
          </w:p>
        </w:tc>
      </w:tr>
      <w:tr>
        <w:trPr>
          <w:trHeight w:val="275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5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Русский</w:t>
            </w:r>
            <w:r/>
          </w:p>
        </w:tc>
      </w:tr>
      <w:tr>
        <w:trPr>
          <w:trHeight w:val="275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8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кредитов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5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кредитов</w:t>
            </w:r>
            <w:r/>
          </w:p>
        </w:tc>
      </w:tr>
      <w:tr>
        <w:trPr>
          <w:trHeight w:val="275"/>
        </w:trPr>
        <w:tc>
          <w:tcPr>
            <w:tcW w:w="1320" w:type="dxa"/>
            <w:textDirection w:val="lrTb"/>
            <w:noWrap w:val="false"/>
          </w:tcPr>
          <w:p>
            <w:pPr>
              <w:pStyle w:val="639"/>
              <w:ind w:right="528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/>
          </w:p>
        </w:tc>
        <w:tc>
          <w:tcPr>
            <w:tcW w:w="6221" w:type="dxa"/>
            <w:textDirection w:val="lrTb"/>
            <w:noWrap w:val="false"/>
          </w:tcPr>
          <w:p>
            <w:pPr>
              <w:pStyle w:val="639"/>
              <w:ind w:left="1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Присуждаемая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магистр</w:t>
            </w:r>
            <w:r/>
          </w:p>
        </w:tc>
        <w:tc>
          <w:tcPr>
            <w:tcW w:w="8223" w:type="dxa"/>
            <w:textDirection w:val="lrTb"/>
            <w:noWrap w:val="false"/>
          </w:tcPr>
          <w:p>
            <w:pPr>
              <w:pStyle w:val="639"/>
              <w:ind w:left="1901" w:right="1888"/>
              <w:jc w:val="center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Магистр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администрирования</w:t>
            </w:r>
            <w:r/>
          </w:p>
        </w:tc>
      </w:tr>
    </w:tbl>
    <w:p>
      <w:r/>
      <w:r/>
    </w:p>
    <w:p>
      <w:r/>
      <w:r/>
    </w:p>
    <w:tbl>
      <w:tblPr>
        <w:tblStyle w:val="640"/>
        <w:tblpPr w:horzAnchor="margin" w:tblpX="-506" w:vertAnchor="text" w:tblpY="-566" w:leftFromText="180" w:topFromText="0" w:rightFromText="180" w:bottomFromText="0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827"/>
        <w:gridCol w:w="155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rHeight w:val="276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дисциплин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Компонент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Креди</w:t>
            </w:r>
            <w:r/>
          </w:p>
          <w:p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 xml:space="preserve">ты</w:t>
            </w:r>
            <w:r/>
          </w:p>
        </w:tc>
        <w:tc>
          <w:tcPr>
            <w:gridSpan w:val="8"/>
            <w:tcW w:w="680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Результаты обучения</w:t>
            </w:r>
            <w:r/>
          </w:p>
        </w:tc>
      </w:tr>
      <w:tr>
        <w:trPr/>
        <w:tc>
          <w:tcPr>
            <w:tcW w:w="56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b/>
                <w:sz w:val="24"/>
                <w:szCs w:val="24"/>
              </w:rPr>
              <w:t xml:space="preserve">РО 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>
              <w:rPr>
                <w:b/>
                <w:sz w:val="24"/>
                <w:szCs w:val="24"/>
              </w:rPr>
              <w:t xml:space="preserve">РО 8</w:t>
            </w:r>
            <w:r/>
          </w:p>
        </w:tc>
      </w:tr>
      <w:tr>
        <w:trPr/>
        <w:tc>
          <w:tcPr>
            <w:gridSpan w:val="10"/>
            <w:tcW w:w="1317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дисциплин по формированию </w:t>
            </w:r>
            <w:r>
              <w:rPr>
                <w:b/>
                <w:sz w:val="24"/>
                <w:szCs w:val="24"/>
              </w:rPr>
              <w:t xml:space="preserve">профессиональных компетенций - 58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W w:w="1176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Вузовский компонент</w:t>
            </w:r>
            <w:r>
              <w:rPr>
                <w:b/>
                <w:sz w:val="24"/>
                <w:szCs w:val="24"/>
                <w:lang w:val="en-US"/>
              </w:rPr>
              <w:t xml:space="preserve"> - 6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Стратегический менеджмент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SM 1201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Дисциплина направлена на овладение магистрантами концепцией стратегического управления, представляющей собой законченную систему анализа, выбо</w:t>
            </w:r>
            <w:r>
              <w:rPr>
                <w:sz w:val="24"/>
                <w:szCs w:val="24"/>
              </w:rPr>
              <w:t xml:space="preserve">ра и реализации стратегии организации в виде набора взаимосвязанных управленческих инструментов, приемов и методик применительно к практическому здравоохранению. В ходе освоения дисциплины магистранты освоят знания о сущности стратегического управления орг</w:t>
            </w:r>
            <w:r>
              <w:rPr>
                <w:sz w:val="24"/>
                <w:szCs w:val="24"/>
              </w:rPr>
              <w:t xml:space="preserve">анизацией, стратегии организации и их классификациях, этапах эволюции стратегического управления, конкурентном анализе, а также освоят навыки по методологии стратегического управленческого анализа.  Применяемые методы обучения: групповая работа, дискуссия.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 (вузовский компонент)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Бизнес-исследование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BI 1202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Дисциплина позволит развить у магистрантов практические навыки бизнес-исследований, которые в последующем могут применяться в медицинской </w:t>
            </w:r>
            <w:r>
              <w:rPr>
                <w:sz w:val="24"/>
                <w:szCs w:val="24"/>
                <w:lang w:eastAsia="ru-RU"/>
              </w:rPr>
              <w:t xml:space="preserve">управленческой деятельности как аналитический инструмент принятия решений. В рамках дисциплины будет использоваться метод командного обучения (TBL).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 (вузовский компонент)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8"/>
            <w:shd w:val="clear" w:color="auto" w:fill="auto"/>
            <w:tcW w:w="1176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Компонент по выбору</w:t>
            </w:r>
            <w:r>
              <w:rPr>
                <w:b/>
                <w:sz w:val="24"/>
                <w:szCs w:val="24"/>
                <w:lang w:val="en-US"/>
              </w:rPr>
              <w:t xml:space="preserve"> - 44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Макро и микроэкономика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 xml:space="preserve">Цель модуля: сформировать у магистрантов навыки методологии макро- и микроэкономического исследования, современного сбора, обработки и анализа экономических и социальных д</w:t>
            </w:r>
            <w:r>
              <w:rPr>
                <w:sz w:val="24"/>
                <w:szCs w:val="24"/>
                <w:lang w:val="kk-KZ"/>
              </w:rPr>
              <w:t xml:space="preserve">анных, имеющих отношение к процессам, протекающим на макро- и микроуровнях, навыки применения основных экономических законов при решении задач в профессиональной деятельности, навыки аналитики взаимосвязей экономических явлений, процессов и институтов на м</w:t>
            </w:r>
            <w:r>
              <w:rPr>
                <w:sz w:val="24"/>
                <w:szCs w:val="24"/>
                <w:lang w:val="kk-KZ"/>
              </w:rPr>
              <w:t xml:space="preserve">акро- и микроуровне и их влияние на систему здравоохранения и деятельность медицинских организаций, навыки аналитики и интерпретации данных статистики о социально-экономических процессах и явлениях на макро- и микроуровне и выявления тенденций их изменений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Экономика в </w:t>
            </w:r>
            <w:r>
              <w:rPr>
                <w:bCs/>
                <w:lang w:val="kk-KZ"/>
              </w:rPr>
              <w:t xml:space="preserve">больничном управлении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обучить </w:t>
            </w:r>
            <w:r>
              <w:rPr>
                <w:color w:val="292B2C"/>
                <w:sz w:val="24"/>
                <w:szCs w:val="24"/>
              </w:rPr>
              <w:t xml:space="preserve">магистрантов умению обобщения и систематизации экономической информации в области здравоохранения, применению теоретических знаний к разработке соответствующих мет</w:t>
            </w:r>
            <w:r>
              <w:rPr>
                <w:color w:val="292B2C"/>
                <w:sz w:val="24"/>
                <w:szCs w:val="24"/>
              </w:rPr>
              <w:t xml:space="preserve">одических и нормативных документов, предложений и мероприятий по реализации принятых проектов и программ с учетом фактора неопределенности, выбору необходимых методов анализа в области управления для достижения поставленных задач медицинской организации, м</w:t>
            </w:r>
            <w:r>
              <w:rPr>
                <w:color w:val="292B2C"/>
                <w:sz w:val="24"/>
                <w:szCs w:val="24"/>
              </w:rPr>
              <w:t xml:space="preserve">етодам клинико-экономического анализа, применяемым в медицинских исследованиях, навыкам системного анализа финансового состояния медицинской организации и навыкам поиска информации, необходимой для решения управленческих задач организации здравоохранения.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КВ </w:t>
            </w:r>
            <w:r>
              <w:rPr>
                <w:sz w:val="24"/>
                <w:szCs w:val="24"/>
                <w:lang w:eastAsia="ru-RU"/>
              </w:rPr>
              <w:t xml:space="preserve">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HR</w:t>
            </w:r>
            <w:r>
              <w:rPr>
                <w:bCs/>
                <w:sz w:val="24"/>
                <w:szCs w:val="24"/>
              </w:rPr>
              <w:t xml:space="preserve"> – менеджмент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обучить магистрантов</w:t>
            </w:r>
            <w:r>
              <w:rPr>
                <w:rFonts w:ascii="Segoe UI" w:hAnsi="Segoe UI" w:cs="Segoe UI"/>
                <w:color w:val="292B2C"/>
                <w:sz w:val="21"/>
                <w:szCs w:val="21"/>
              </w:rPr>
              <w:t xml:space="preserve"> </w:t>
            </w:r>
            <w:r>
              <w:rPr>
                <w:color w:val="292B2C"/>
                <w:sz w:val="24"/>
                <w:szCs w:val="24"/>
              </w:rPr>
              <w:t xml:space="preserve">навыкам управления человеческими ресурсами, анализа кадрового потенциала и кадрового менеджмента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Корпоративный менеджмент и </w:t>
            </w:r>
            <w:r>
              <w:rPr>
                <w:sz w:val="24"/>
                <w:szCs w:val="24"/>
              </w:rPr>
              <w:t xml:space="preserve">управление человеческими ресурсами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color w:val="292B2C"/>
                <w:sz w:val="24"/>
                <w:szCs w:val="24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сформировать у магистрантов навыки </w:t>
            </w:r>
            <w:r>
              <w:rPr>
                <w:color w:val="292B2C"/>
                <w:sz w:val="24"/>
                <w:szCs w:val="24"/>
              </w:rPr>
              <w:t xml:space="preserve">аналитических приемов определен</w:t>
            </w:r>
            <w:r>
              <w:rPr>
                <w:color w:val="292B2C"/>
                <w:sz w:val="24"/>
                <w:szCs w:val="24"/>
              </w:rPr>
              <w:t xml:space="preserve">ия целесообразности принятия решений в области корпоративного управления и управления человеческими ресурсами, планирования экономических показателей медицинской организации и применения методов анализа и учета затрат на медицинскую организацию, оценки эфф</w:t>
            </w:r>
            <w:r>
              <w:rPr>
                <w:color w:val="292B2C"/>
                <w:sz w:val="24"/>
                <w:szCs w:val="24"/>
              </w:rPr>
              <w:t xml:space="preserve">ективности принятия управленческих решений, анализа финансового, интеллектуального и социального капитала медицинской организации и выбора подходящего математического инструментария для решения практических задач в области экономики медицинской организации</w:t>
            </w:r>
            <w:r>
              <w:rPr>
                <w:color w:val="292B2C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</w:t>
            </w:r>
            <w:r>
              <w:rPr>
                <w:sz w:val="24"/>
                <w:szCs w:val="24"/>
                <w:lang w:eastAsia="ru-RU"/>
              </w:rPr>
              <w:t xml:space="preserve">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Риск – менеджмент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сформировать у магистрантов навыки обнаружения и оце</w:t>
            </w:r>
            <w:r>
              <w:rPr>
                <w:color w:val="292B2C"/>
                <w:sz w:val="24"/>
                <w:szCs w:val="24"/>
              </w:rPr>
              <w:t xml:space="preserve">нки рисков медицинской организации, составления целостного рискового ландшафта медицинской организации, создания системы управления рисками, оценки сильных и слабых сторон медицинской организации, анализа угроз возникновения потерь и определения источника </w:t>
            </w:r>
            <w:r>
              <w:rPr>
                <w:color w:val="292B2C"/>
                <w:sz w:val="24"/>
                <w:szCs w:val="24"/>
              </w:rPr>
              <w:t xml:space="preserve">опасности, контроля рисковых показателей</w:t>
            </w:r>
            <w:r>
              <w:rPr>
                <w:color w:val="292B2C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Финансовый менеджмент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сформировать у магистрантов навыки по определению потребности в финансовых ресурсах для обеспечения деятельности медицинск</w:t>
            </w:r>
            <w:r>
              <w:rPr>
                <w:color w:val="292B2C"/>
                <w:sz w:val="24"/>
                <w:szCs w:val="24"/>
              </w:rPr>
              <w:t xml:space="preserve">ой организации, анализа возможных источников финансовых ресурсов и выбора наиболее целесообразных для решения конкретных задач, определения и формирования рациональных структур финансовых ресурсов, анализа возможных направлений использования финансовых рес</w:t>
            </w:r>
            <w:r>
              <w:rPr>
                <w:color w:val="292B2C"/>
                <w:sz w:val="24"/>
                <w:szCs w:val="24"/>
              </w:rPr>
              <w:t xml:space="preserve">урсов для достижения целей медицинской организации и выбора наиболее целесообразных и управления процессом формирования и использования финансовых ресурсов (планирование, принятие и реализация решений, анализ текущего состояния и оперативное регулирование)</w:t>
            </w:r>
            <w:r>
              <w:rPr>
                <w:color w:val="292B2C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Сервис – менеджмент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сформировать у магистрантов навыки управления качеством медицинских услуг, анализа систем качества, статистическими методами управления и контроля качества </w:t>
            </w:r>
            <w:r>
              <w:rPr>
                <w:color w:val="292B2C"/>
                <w:sz w:val="24"/>
                <w:szCs w:val="24"/>
              </w:rPr>
              <w:t xml:space="preserve">медицинских услуг, нормат</w:t>
            </w:r>
            <w:r>
              <w:rPr>
                <w:color w:val="292B2C"/>
                <w:sz w:val="24"/>
                <w:szCs w:val="24"/>
              </w:rPr>
              <w:t xml:space="preserve">ивно-правовой базой обеспечения качества медицинской помощи, стандартизацией, сертификацией, метрологией и экономикой управления и анализа систем качества, ознакомить с основами сервис-менеджмента и пациентоориентированного подхода в больничном менеджменте</w:t>
            </w:r>
            <w:r>
              <w:rPr>
                <w:color w:val="292B2C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>
          <w:trHeight w:val="2893"/>
        </w:trPr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Операционный менеджмент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сформировать у магистрантов </w:t>
            </w:r>
            <w:r>
              <w:rPr>
                <w:color w:val="292B2C"/>
                <w:sz w:val="24"/>
                <w:szCs w:val="24"/>
              </w:rPr>
              <w:t xml:space="preserve">навыки организации и управления операционными (производственными) системами, системной рационализации управления операционными процессами, анализа поведения пациентов, разработки программ организационного развития и обеспечения реализации программ развития</w:t>
            </w:r>
            <w:r>
              <w:rPr>
                <w:color w:val="292B2C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анализ в экономике здравоохранения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292B2C"/>
                <w:sz w:val="24"/>
                <w:szCs w:val="24"/>
              </w:rPr>
              <w:t xml:space="preserve">Цель модуля: ознакомить магистранто</w:t>
            </w:r>
            <w:r>
              <w:rPr>
                <w:color w:val="292B2C"/>
                <w:sz w:val="24"/>
                <w:szCs w:val="24"/>
              </w:rPr>
              <w:t xml:space="preserve">в с качественными методами экономического анализа и сформировать навыки проведения качественных исследований с целью получения развернутой информации о предмете исследования, понимания, объяснения и интерпретации эмпирических данных и в качестве источника </w:t>
            </w:r>
            <w:r>
              <w:rPr>
                <w:color w:val="292B2C"/>
                <w:sz w:val="24"/>
                <w:szCs w:val="24"/>
              </w:rPr>
              <w:t xml:space="preserve">формирования гипотез</w:t>
            </w:r>
            <w:r>
              <w:rPr>
                <w:color w:val="292B2C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анализ в экономике здравоохранения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Цель модуля: сформировать у магистрантов навыки сбора и анализа количественной информации, организации исследовательской работы, сбора количественных эмпирических данных, использования количественных методов, классификации и категоризации этих данных</w:t>
            </w:r>
            <w:r>
              <w:rPr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gridSpan w:val="8"/>
            <w:shd w:val="clear" w:color="auto" w:fill="auto"/>
            <w:tcW w:w="1176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БЛК (Блок дисциплин личностного развития и формирования лидерских </w:t>
            </w:r>
            <w:r>
              <w:rPr>
                <w:b/>
                <w:sz w:val="24"/>
                <w:szCs w:val="24"/>
              </w:rPr>
              <w:t xml:space="preserve">качеств) – 20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W w:w="1176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Вузовский компонент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поведение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модуля: ознакомить магистрантов с основными понятиями и теорией бихевиоральных (поведенческих) наук, лежащих в основе организационного поведения, существующими подходами и методами исследования орга</w:t>
            </w:r>
            <w:r>
              <w:rPr>
                <w:sz w:val="24"/>
                <w:szCs w:val="24"/>
              </w:rPr>
              <w:t xml:space="preserve">низационного поведения, характеристиками и моделями организационного поведения на индивидуальном, групповом и организационном уровнях анализа, обучить грамотно ориентации в актуальных проблемах организационного поведения, анализу и интерпретации феноменов </w:t>
            </w:r>
            <w:r>
              <w:rPr>
                <w:sz w:val="24"/>
                <w:szCs w:val="24"/>
              </w:rPr>
              <w:t xml:space="preserve">организационного поведения, использованию знаний об организационном поведении в практике управления человеческими ресурсами и медицинской организацией̆ в целом, специфике организационного поведения к</w:t>
            </w:r>
            <w:r>
              <w:rPr>
                <w:sz w:val="24"/>
                <w:szCs w:val="24"/>
              </w:rPr>
              <w:t xml:space="preserve">ак междисциплинарной̆ и прикладной̆ отрасли знания, нацеленной̆ на повышение эффективности медицинской организации, методам системного анализа и оценки организационного поведения и навыкам решения проблем, связанных с управлением организационным поведением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ВК (вузовский </w:t>
            </w:r>
            <w:r>
              <w:rPr>
                <w:sz w:val="24"/>
                <w:szCs w:val="24"/>
                <w:lang w:eastAsia="ru-RU"/>
              </w:rPr>
              <w:t xml:space="preserve">компонент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Технологии эффективной коммуникации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Дисциплина направлена на обучение магистрантов применению/использованию умений и н</w:t>
            </w:r>
            <w:r>
              <w:rPr>
                <w:sz w:val="24"/>
                <w:szCs w:val="24"/>
              </w:rPr>
              <w:t xml:space="preserve">авыков деловой и публичной коммуникации. В ходе освоения материала, магистранты получат теоретические и практические знания о ключевых аспектах психологии делового общения, управления конфликтами и стрессами в деловом общении.   Применяемые методы обучения</w:t>
            </w:r>
            <w:r>
              <w:rPr>
                <w:sz w:val="24"/>
                <w:szCs w:val="24"/>
              </w:rPr>
              <w:t xml:space="preserve">: групповая работа, дискуссия, </w:t>
            </w:r>
            <w:r>
              <w:rPr>
                <w:sz w:val="24"/>
                <w:szCs w:val="24"/>
              </w:rPr>
              <w:t xml:space="preserve">технология Кейс-стади.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ВК (вузовский </w:t>
            </w:r>
            <w:r>
              <w:rPr>
                <w:sz w:val="24"/>
                <w:szCs w:val="24"/>
                <w:lang w:eastAsia="ru-RU"/>
              </w:rPr>
              <w:t xml:space="preserve">компонент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Законодательство в системе здравоохранения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Цель модуля: обучить магистрантов навыкам использования и составления нормативных документов, относящихся к проф</w:t>
            </w:r>
            <w:r>
              <w:rPr>
                <w:sz w:val="24"/>
                <w:szCs w:val="24"/>
                <w:lang w:val="kk-KZ"/>
              </w:rPr>
              <w:t xml:space="preserve">ессиональной медицинской деятельности, принятия необходимых мер к восстановлению нарушенных прав пациента, медицинского работника или медицинской организации, а также обучить практическому применению правовых норм при осуществлении медицинской деятельности</w:t>
            </w:r>
            <w:r>
              <w:rPr>
                <w:sz w:val="24"/>
                <w:szCs w:val="24"/>
                <w:lang w:val="kk-KZ"/>
              </w:rPr>
              <w:t xml:space="preserve">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ВК (вузовский комонент)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8"/>
            <w:shd w:val="clear" w:color="auto" w:fill="auto"/>
            <w:tcW w:w="1176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Компонент по выбору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Цель модуля: обучить магистрантов навыкам проведения маркетинговых исследований рынка медицинских услуг, основным методическим подходам к обоснованию и выбору ценовой, распределительной, ком</w:t>
            </w:r>
            <w:r>
              <w:rPr>
                <w:sz w:val="24"/>
                <w:szCs w:val="24"/>
                <w:lang w:val="kk-KZ"/>
              </w:rPr>
              <w:t xml:space="preserve">муникационной политики медицинской организации, навыкам поиска и выбора управленческих решений в деятельности медицинской организации, в том числе при разработке бизнес-планов медицинской организации, оценке влияния различных факторов маркетинговой среды, </w:t>
            </w:r>
            <w:r>
              <w:rPr>
                <w:sz w:val="24"/>
                <w:szCs w:val="24"/>
                <w:lang w:val="kk-KZ"/>
              </w:rPr>
              <w:t xml:space="preserve">оказывающих влияние на выбор конкурентной политики медицинской организации, систематизации и обобщению маркетинговой информации, в том числе информации по формированию и</w:t>
            </w:r>
            <w:r>
              <w:rPr>
                <w:sz w:val="24"/>
                <w:szCs w:val="24"/>
                <w:lang w:val="kk-KZ"/>
              </w:rPr>
              <w:t xml:space="preserve"> использованию ресурсов медицинской организации, разработке плана проведения конкретного маркетингового исследования и применению в практической деятельности основных методов маркетингового анализа условий и результатов деятельности медицинской организации</w:t>
            </w:r>
            <w:r>
              <w:rPr>
                <w:sz w:val="24"/>
                <w:szCs w:val="24"/>
                <w:lang w:val="kk-KZ"/>
              </w:rPr>
              <w:t xml:space="preserve">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в здравоохранении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Цель модуля: обучить магистра</w:t>
            </w:r>
            <w:r>
              <w:rPr>
                <w:sz w:val="24"/>
                <w:szCs w:val="24"/>
                <w:lang w:val="kk-KZ"/>
              </w:rPr>
              <w:t xml:space="preserve">нтов применению алгоритмов внедрения цифровизации в практическое здравоохранение, разработке цифровой стратегии организации и стратегии цифровых решений, созданию операционного каркаса и элементам цифрового менеджмента и маркетинга медицинской деятельности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КВ (компонент по выбору)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Экспериментально-исследовательская работа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EIRM 131</w:t>
            </w:r>
            <w:r>
              <w:rPr>
                <w:b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Работа направлена наприменение  полученных знаний в разработке и написания бизнес-проектов/концепций/планов и.т.п., с использоваием методов анализа и определения цели, задач </w:t>
            </w:r>
            <w:r>
              <w:rPr>
                <w:sz w:val="24"/>
                <w:szCs w:val="24"/>
                <w:lang w:val="kk-KZ"/>
              </w:rPr>
              <w:t xml:space="preserve">различных проектов.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Итоговая аттестация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IA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tcW w:w="56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41"/>
    <w:uiPriority w:val="99"/>
  </w:style>
  <w:style w:type="character" w:styleId="43">
    <w:name w:val="Footer Char"/>
    <w:basedOn w:val="635"/>
    <w:link w:val="643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43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table" w:styleId="638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39" w:customStyle="1">
    <w:name w:val="Table Paragraph"/>
    <w:basedOn w:val="634"/>
    <w:uiPriority w:val="1"/>
    <w:qFormat/>
  </w:style>
  <w:style w:type="table" w:styleId="640">
    <w:name w:val="Table Grid"/>
    <w:basedOn w:val="636"/>
    <w:uiPriority w:val="59"/>
    <w:pPr>
      <w:spacing w:after="0" w:line="240" w:lineRule="auto"/>
    </w:pPr>
    <w:rPr>
      <w:rFonts w:cs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1">
    <w:name w:val="Header"/>
    <w:basedOn w:val="634"/>
    <w:link w:val="6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2" w:customStyle="1">
    <w:name w:val="Верхний колонтитул Знак"/>
    <w:basedOn w:val="635"/>
    <w:link w:val="641"/>
    <w:uiPriority w:val="99"/>
    <w:rPr>
      <w:rFonts w:ascii="Times New Roman" w:hAnsi="Times New Roman" w:cs="Times New Roman" w:eastAsia="Times New Roman"/>
    </w:rPr>
  </w:style>
  <w:style w:type="paragraph" w:styleId="643">
    <w:name w:val="Footer"/>
    <w:basedOn w:val="634"/>
    <w:link w:val="6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4" w:customStyle="1">
    <w:name w:val="Нижний колонтитул Знак"/>
    <w:basedOn w:val="635"/>
    <w:link w:val="643"/>
    <w:uiPriority w:val="99"/>
    <w:rPr>
      <w:rFonts w:ascii="Times New Roman" w:hAnsi="Times New Roman" w:cs="Times New Roman"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Нұрсултан Жүнісәлі</dc:creator>
  <cp:keywords/>
  <dc:description/>
  <cp:lastModifiedBy>Жамантай Сымбат Турсынқызы</cp:lastModifiedBy>
  <cp:revision>3</cp:revision>
  <dcterms:created xsi:type="dcterms:W3CDTF">2024-01-22T04:07:00Z</dcterms:created>
  <dcterms:modified xsi:type="dcterms:W3CDTF">2024-01-23T04:32:49Z</dcterms:modified>
</cp:coreProperties>
</file>