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54" w:rsidRPr="008D1194" w:rsidRDefault="00B84254" w:rsidP="00F968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1194">
        <w:rPr>
          <w:rFonts w:ascii="Times New Roman" w:hAnsi="Times New Roman"/>
          <w:b/>
          <w:sz w:val="24"/>
          <w:szCs w:val="24"/>
        </w:rPr>
        <w:t>7М10102 – «Медицина»</w:t>
      </w:r>
    </w:p>
    <w:p w:rsidR="00B84254" w:rsidRPr="008D1194" w:rsidRDefault="00B84254" w:rsidP="00B84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1194">
        <w:rPr>
          <w:rFonts w:ascii="Times New Roman" w:hAnsi="Times New Roman"/>
          <w:b/>
          <w:sz w:val="24"/>
          <w:szCs w:val="24"/>
        </w:rPr>
        <w:t>Научно-педагогическое направление</w:t>
      </w:r>
      <w:r w:rsidR="00077AF4">
        <w:rPr>
          <w:rFonts w:ascii="Times New Roman" w:hAnsi="Times New Roman"/>
          <w:b/>
          <w:sz w:val="24"/>
          <w:szCs w:val="24"/>
        </w:rPr>
        <w:t xml:space="preserve"> (2 года)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8895"/>
      </w:tblGrid>
      <w:tr w:rsidR="00817D8F" w:rsidRPr="008D1194" w:rsidTr="00F968AF">
        <w:tc>
          <w:tcPr>
            <w:tcW w:w="562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17D8F" w:rsidRPr="008D1194" w:rsidRDefault="00817D8F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8895" w:type="dxa"/>
          </w:tcPr>
          <w:p w:rsidR="00817D8F" w:rsidRPr="008D1194" w:rsidRDefault="00A07D9D" w:rsidP="00F968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Медицина</w:t>
            </w:r>
          </w:p>
        </w:tc>
      </w:tr>
      <w:tr w:rsidR="00817D8F" w:rsidRPr="008D1194" w:rsidTr="00F968AF">
        <w:tc>
          <w:tcPr>
            <w:tcW w:w="562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17D8F" w:rsidRPr="008D1194" w:rsidRDefault="00817D8F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Вид ОП (действующая, новая, инновационная)</w:t>
            </w:r>
          </w:p>
        </w:tc>
        <w:tc>
          <w:tcPr>
            <w:tcW w:w="8895" w:type="dxa"/>
          </w:tcPr>
          <w:p w:rsidR="00817D8F" w:rsidRPr="008D1194" w:rsidRDefault="00A07D9D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действующая</w:t>
            </w:r>
          </w:p>
        </w:tc>
      </w:tr>
      <w:tr w:rsidR="00817D8F" w:rsidRPr="008D1194" w:rsidTr="00F968AF">
        <w:tc>
          <w:tcPr>
            <w:tcW w:w="562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17D8F" w:rsidRPr="008D1194" w:rsidRDefault="00817D8F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Цель ОП</w:t>
            </w:r>
          </w:p>
        </w:tc>
        <w:tc>
          <w:tcPr>
            <w:tcW w:w="8895" w:type="dxa"/>
          </w:tcPr>
          <w:p w:rsidR="00817D8F" w:rsidRPr="008D1194" w:rsidRDefault="00AA449E" w:rsidP="00AA44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94">
              <w:rPr>
                <w:rFonts w:ascii="Times New Roman" w:hAnsi="Times New Roman"/>
                <w:sz w:val="24"/>
                <w:lang w:val="kk-KZ"/>
              </w:rPr>
              <w:t xml:space="preserve">Подготовка </w:t>
            </w:r>
            <w:r w:rsidRPr="008D1194">
              <w:rPr>
                <w:rFonts w:ascii="Times New Roman" w:hAnsi="Times New Roman"/>
                <w:sz w:val="24"/>
              </w:rPr>
              <w:t xml:space="preserve">высокоспециализированных, </w:t>
            </w:r>
            <w:proofErr w:type="spellStart"/>
            <w:r w:rsidRPr="008D1194">
              <w:rPr>
                <w:rFonts w:ascii="Times New Roman" w:hAnsi="Times New Roman"/>
                <w:sz w:val="24"/>
              </w:rPr>
              <w:t>конкурентноспособных</w:t>
            </w:r>
            <w:proofErr w:type="spellEnd"/>
            <w:r w:rsidRPr="008D1194">
              <w:rPr>
                <w:rFonts w:ascii="Times New Roman" w:hAnsi="Times New Roman"/>
                <w:sz w:val="24"/>
              </w:rPr>
              <w:t xml:space="preserve"> специалистов нового поколения с высоким уровнем профессиональной компетенции</w:t>
            </w:r>
            <w:r w:rsidR="00817D8F" w:rsidRPr="008D1194">
              <w:rPr>
                <w:rFonts w:ascii="Times New Roman" w:hAnsi="Times New Roman"/>
                <w:sz w:val="24"/>
                <w:szCs w:val="24"/>
              </w:rPr>
              <w:t xml:space="preserve">, обладающих </w:t>
            </w:r>
            <w:proofErr w:type="spellStart"/>
            <w:r w:rsidR="00817D8F" w:rsidRPr="008D1194">
              <w:rPr>
                <w:rFonts w:ascii="Times New Roman" w:hAnsi="Times New Roman"/>
                <w:sz w:val="24"/>
                <w:szCs w:val="24"/>
              </w:rPr>
              <w:t>углубленн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ыми</w:t>
            </w:r>
            <w:r w:rsidR="00817D8F" w:rsidRPr="008D1194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proofErr w:type="spellStart"/>
            <w:r w:rsidR="00817D8F" w:rsidRPr="008D1194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ими</w:t>
            </w:r>
            <w:r w:rsidR="00817D8F" w:rsidRPr="008D11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817D8F" w:rsidRPr="008D1194">
              <w:rPr>
                <w:rFonts w:ascii="Times New Roman" w:hAnsi="Times New Roman"/>
                <w:sz w:val="24"/>
                <w:szCs w:val="24"/>
              </w:rPr>
              <w:t>исследовательск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ими</w:t>
            </w:r>
            <w:r w:rsidR="00817D8F" w:rsidRPr="008D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навыками</w:t>
            </w:r>
          </w:p>
        </w:tc>
      </w:tr>
      <w:tr w:rsidR="00817D8F" w:rsidRPr="008D1194" w:rsidTr="00F968AF">
        <w:tc>
          <w:tcPr>
            <w:tcW w:w="562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17D8F" w:rsidRPr="008D1194" w:rsidRDefault="00817D8F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Особенности ОП (нет, совместная,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двудипломная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95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7D8F" w:rsidRPr="008D1194" w:rsidTr="00F968AF">
        <w:tc>
          <w:tcPr>
            <w:tcW w:w="562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17D8F" w:rsidRPr="008D1194" w:rsidRDefault="00817D8F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Вуз-партнер</w:t>
            </w:r>
          </w:p>
        </w:tc>
        <w:tc>
          <w:tcPr>
            <w:tcW w:w="8895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7D8F" w:rsidRPr="008D1194" w:rsidTr="00F968AF">
        <w:tc>
          <w:tcPr>
            <w:tcW w:w="562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17D8F" w:rsidRPr="008D1194" w:rsidRDefault="00817D8F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Результаты обучения (не менее 8 РО)</w:t>
            </w:r>
          </w:p>
        </w:tc>
        <w:tc>
          <w:tcPr>
            <w:tcW w:w="8895" w:type="dxa"/>
          </w:tcPr>
          <w:p w:rsidR="00307D2A" w:rsidRPr="008D1194" w:rsidRDefault="00307D2A" w:rsidP="00307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1 – 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>Имеет углубленные знания по доказательной медицине, демонстрирует критическое мышление, умение корректно организовывать исследовательский процесс и последовательно отражает эти навыки;</w:t>
            </w:r>
          </w:p>
          <w:p w:rsidR="00307D2A" w:rsidRPr="008D1194" w:rsidRDefault="00307D2A" w:rsidP="00BF7133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="00A43C5E" w:rsidRPr="008D1194">
              <w:rPr>
                <w:rFonts w:ascii="Times New Roman" w:hAnsi="Times New Roman"/>
                <w:sz w:val="24"/>
                <w:szCs w:val="24"/>
              </w:rPr>
              <w:t>2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43C5E" w:rsidRPr="008D11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Располагает </w:t>
            </w:r>
            <w:r w:rsidR="00A43C5E" w:rsidRPr="008D1194">
              <w:rPr>
                <w:rFonts w:ascii="Times New Roman" w:hAnsi="Times New Roman"/>
                <w:sz w:val="24"/>
                <w:szCs w:val="24"/>
              </w:rPr>
              <w:t>навыками продвинутого мышления</w:t>
            </w:r>
            <w:r w:rsidR="00A43C5E" w:rsidRPr="008D11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A43C5E" w:rsidRPr="008D1194">
              <w:rPr>
                <w:rFonts w:ascii="Times New Roman" w:eastAsia="Calibri" w:hAnsi="Times New Roman"/>
                <w:sz w:val="24"/>
                <w:szCs w:val="24"/>
              </w:rPr>
              <w:t>ищет новые идеи и творческие решения, и способен определять значимость и важность идей, связанных с работой, обладает способностью отображать собственные убеждения и ценности, связанные с профессиональной деятельностью, демонстрирует непредвзятое отношение к здравоохранению и способствует ее изменениям при необходимости</w:t>
            </w:r>
            <w:r w:rsidR="00A43C5E" w:rsidRPr="008D11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C5E" w:rsidRPr="008D1194" w:rsidRDefault="00A43C5E" w:rsidP="00BF7133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РО 3 – Способен определить надежность качества исследований в плане проектирования, выбора методологии и методики исследования, анализа и использования ресурсов;</w:t>
            </w:r>
          </w:p>
          <w:p w:rsidR="00A43C5E" w:rsidRPr="008D1194" w:rsidRDefault="00A43C5E" w:rsidP="00A43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РО 4 – Свободно владеет иностранным языком, эффективно использует разнообразные информационные и коммуникационные технологии в профессиональной деятельности с учетом информационной безопасности;</w:t>
            </w:r>
          </w:p>
          <w:p w:rsidR="00A43C5E" w:rsidRPr="008D1194" w:rsidRDefault="00A43C5E" w:rsidP="00A43C5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РО 5 – Способен определить и объяснить философию научной деятельности, умеет критически анализировать медицину как профессию, описывает научные явления в сфере здравоохранения;</w:t>
            </w:r>
          </w:p>
          <w:p w:rsidR="00A43C5E" w:rsidRPr="008D1194" w:rsidRDefault="00A43C5E" w:rsidP="00A43C5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РО 6 – Способен приобретать новые знания и навыки прикладного характера в исследовательской, профессиональной и педагогической деятельности;</w:t>
            </w:r>
          </w:p>
          <w:p w:rsidR="00A43C5E" w:rsidRPr="008D1194" w:rsidRDefault="00A43C5E" w:rsidP="00A43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РО 7 –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 Демонстрирует знания по вопросам устройства и управления организацией, механизмов взаимодействия с заинтересованными сторонами;</w:t>
            </w:r>
          </w:p>
          <w:p w:rsidR="00A43C5E" w:rsidRPr="008D1194" w:rsidRDefault="007E0335" w:rsidP="00CB6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РО 8 – Способен прогнозировать и моделировать влияние внедрения новых услуг, технологий, мероприятий по укреплению здоровья и лечению.</w:t>
            </w:r>
          </w:p>
        </w:tc>
      </w:tr>
      <w:tr w:rsidR="00817D8F" w:rsidRPr="008D1194" w:rsidTr="00F968AF">
        <w:tc>
          <w:tcPr>
            <w:tcW w:w="562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17D8F" w:rsidRPr="008D1194" w:rsidRDefault="00817D8F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895" w:type="dxa"/>
          </w:tcPr>
          <w:p w:rsidR="00817D8F" w:rsidRPr="008D1194" w:rsidRDefault="00817D8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</w:tr>
      <w:tr w:rsidR="00817D8F" w:rsidRPr="008D1194" w:rsidTr="00F968AF">
        <w:tc>
          <w:tcPr>
            <w:tcW w:w="562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17D8F" w:rsidRPr="008D1194" w:rsidRDefault="00817D8F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8895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BF7133" w:rsidRPr="008D1194">
              <w:rPr>
                <w:rFonts w:ascii="Times New Roman" w:hAnsi="Times New Roman"/>
                <w:sz w:val="24"/>
                <w:szCs w:val="24"/>
              </w:rPr>
              <w:t>, казахский</w:t>
            </w:r>
          </w:p>
        </w:tc>
      </w:tr>
      <w:tr w:rsidR="00817D8F" w:rsidRPr="008D1194" w:rsidTr="00F968AF">
        <w:tc>
          <w:tcPr>
            <w:tcW w:w="562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17D8F" w:rsidRPr="008D1194" w:rsidRDefault="00817D8F" w:rsidP="00307D2A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Объем кредитов </w:t>
            </w:r>
          </w:p>
        </w:tc>
        <w:tc>
          <w:tcPr>
            <w:tcW w:w="8895" w:type="dxa"/>
          </w:tcPr>
          <w:p w:rsidR="00817D8F" w:rsidRPr="008D1194" w:rsidRDefault="00BF7133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12</w:t>
            </w:r>
            <w:r w:rsidR="00817D8F" w:rsidRPr="008D1194">
              <w:rPr>
                <w:rFonts w:ascii="Times New Roman" w:hAnsi="Times New Roman"/>
                <w:sz w:val="24"/>
                <w:szCs w:val="24"/>
              </w:rPr>
              <w:t xml:space="preserve">0 кредитов </w:t>
            </w:r>
          </w:p>
        </w:tc>
      </w:tr>
      <w:tr w:rsidR="00817D8F" w:rsidRPr="008D1194" w:rsidTr="00F968AF">
        <w:tc>
          <w:tcPr>
            <w:tcW w:w="562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17D8F" w:rsidRPr="008D1194" w:rsidRDefault="00817D8F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Присуждаемая академическая степень магистр </w:t>
            </w:r>
          </w:p>
        </w:tc>
        <w:tc>
          <w:tcPr>
            <w:tcW w:w="8895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="008927F1" w:rsidRPr="008D1194">
              <w:rPr>
                <w:rFonts w:ascii="Times New Roman" w:hAnsi="Times New Roman"/>
                <w:sz w:val="24"/>
                <w:szCs w:val="24"/>
              </w:rPr>
              <w:t xml:space="preserve"> медицинских наук по образовательной программе «Медицина»</w:t>
            </w:r>
          </w:p>
        </w:tc>
      </w:tr>
    </w:tbl>
    <w:p w:rsidR="00817D8F" w:rsidRPr="008D1194" w:rsidRDefault="00817D8F" w:rsidP="00817D8F">
      <w:pPr>
        <w:rPr>
          <w:rFonts w:ascii="Times New Roman" w:hAnsi="Times New Roman"/>
          <w:b/>
          <w:sz w:val="24"/>
          <w:szCs w:val="24"/>
        </w:rPr>
      </w:pPr>
    </w:p>
    <w:p w:rsidR="00817D8F" w:rsidRPr="008D1194" w:rsidRDefault="00817D8F" w:rsidP="00817D8F">
      <w:pPr>
        <w:rPr>
          <w:rFonts w:ascii="Times New Roman" w:hAnsi="Times New Roman"/>
          <w:b/>
          <w:sz w:val="24"/>
          <w:szCs w:val="24"/>
        </w:rPr>
      </w:pPr>
      <w:r w:rsidRPr="008D1194">
        <w:rPr>
          <w:rFonts w:ascii="Times New Roman" w:hAnsi="Times New Roman"/>
          <w:b/>
          <w:sz w:val="24"/>
          <w:szCs w:val="24"/>
        </w:rPr>
        <w:lastRenderedPageBreak/>
        <w:t>Сведения о дисциплинах: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649"/>
        <w:gridCol w:w="992"/>
        <w:gridCol w:w="2126"/>
        <w:gridCol w:w="709"/>
        <w:gridCol w:w="567"/>
        <w:gridCol w:w="567"/>
        <w:gridCol w:w="567"/>
        <w:gridCol w:w="567"/>
        <w:gridCol w:w="567"/>
        <w:gridCol w:w="567"/>
        <w:gridCol w:w="567"/>
        <w:gridCol w:w="560"/>
      </w:tblGrid>
      <w:tr w:rsidR="00817D8F" w:rsidRPr="008D1194" w:rsidTr="002B77D3">
        <w:tc>
          <w:tcPr>
            <w:tcW w:w="2122" w:type="dxa"/>
            <w:vMerge w:val="restart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4649" w:type="dxa"/>
            <w:vMerge w:val="restart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709" w:type="dxa"/>
            <w:vMerge w:val="restart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Креди</w:t>
            </w:r>
            <w:proofErr w:type="spellEnd"/>
          </w:p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4529" w:type="dxa"/>
            <w:gridSpan w:val="8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обучения (коды)</w:t>
            </w:r>
          </w:p>
        </w:tc>
      </w:tr>
      <w:tr w:rsidR="00817D8F" w:rsidRPr="008D1194" w:rsidTr="002B77D3">
        <w:tc>
          <w:tcPr>
            <w:tcW w:w="2122" w:type="dxa"/>
            <w:vMerge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РО 1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РО 3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РО 4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РО 5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РО 6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РО 7</w:t>
            </w:r>
          </w:p>
        </w:tc>
        <w:tc>
          <w:tcPr>
            <w:tcW w:w="560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РО 8</w:t>
            </w:r>
          </w:p>
        </w:tc>
      </w:tr>
      <w:tr w:rsidR="00BF7133" w:rsidRPr="008D1194" w:rsidTr="002B77D3">
        <w:tc>
          <w:tcPr>
            <w:tcW w:w="2122" w:type="dxa"/>
          </w:tcPr>
          <w:p w:rsidR="00BF7133" w:rsidRPr="008D1194" w:rsidRDefault="00BF7133" w:rsidP="00BF7133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4649" w:type="dxa"/>
          </w:tcPr>
          <w:p w:rsidR="00BF7133" w:rsidRPr="008D1194" w:rsidRDefault="002161BD" w:rsidP="002161BD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Способствует осмыслению актуальных проблем истории и философии науки как современной мировой традиции философского осмысления природы науки, формирует научно-методологическое мировоззрение на основе знания особенностей современной науки. Способствует совершенствованию навыков научного осмысления действительности.</w:t>
            </w:r>
          </w:p>
        </w:tc>
        <w:tc>
          <w:tcPr>
            <w:tcW w:w="992" w:type="dxa"/>
            <w:shd w:val="clear" w:color="auto" w:fill="FFFFFF" w:themeFill="background1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709" w:type="dxa"/>
          </w:tcPr>
          <w:p w:rsidR="00BF7133" w:rsidRPr="008D1194" w:rsidRDefault="008F1F7D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A43C5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F7133" w:rsidRPr="008D1194" w:rsidRDefault="00CB6B3C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7133" w:rsidRPr="008D1194" w:rsidTr="002B77D3">
        <w:tc>
          <w:tcPr>
            <w:tcW w:w="2122" w:type="dxa"/>
          </w:tcPr>
          <w:p w:rsidR="00BF7133" w:rsidRPr="008D1194" w:rsidRDefault="00BF7133" w:rsidP="00BF7133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Иностранный язык (профессиональный)</w:t>
            </w:r>
          </w:p>
        </w:tc>
        <w:tc>
          <w:tcPr>
            <w:tcW w:w="4649" w:type="dxa"/>
          </w:tcPr>
          <w:p w:rsidR="00BF7133" w:rsidRPr="008D1194" w:rsidRDefault="002161BD" w:rsidP="002161BD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Курс направлен на овладение иностранным языком,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BF7133" w:rsidRPr="008D1194" w:rsidRDefault="0091343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</w:t>
            </w:r>
            <w:r w:rsidR="00BF7133" w:rsidRPr="008D119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  <w:shd w:val="clear" w:color="auto" w:fill="FFFFFF" w:themeFill="background1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709" w:type="dxa"/>
          </w:tcPr>
          <w:p w:rsidR="00BF7133" w:rsidRPr="008D1194" w:rsidRDefault="008F1F7D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A43C5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A43C5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133" w:rsidRPr="008D1194" w:rsidTr="002B77D3">
        <w:tc>
          <w:tcPr>
            <w:tcW w:w="2122" w:type="dxa"/>
          </w:tcPr>
          <w:p w:rsidR="00BF7133" w:rsidRPr="008D1194" w:rsidRDefault="00BF7133" w:rsidP="00BF7133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Педагогика высшей школы</w:t>
            </w:r>
          </w:p>
        </w:tc>
        <w:tc>
          <w:tcPr>
            <w:tcW w:w="4649" w:type="dxa"/>
          </w:tcPr>
          <w:p w:rsidR="00BF7133" w:rsidRPr="008D1194" w:rsidRDefault="002161BD" w:rsidP="002161BD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Целями освоения дисциплины являются – предоставить обучающимся знания о теоретических основах педагогической теории и педагогического мастерства, управлении учебно-воспитательным процессом для преподавания в учебных заведениях, дать представление об основных категориях педагогики, о месте, роли и значении педагогики высшей школы в системе наук о человеке и в практической деятельности педагога, сформировать понимание о базовых принципах современной педагогики и </w:t>
            </w: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подходах к решению педагогических задач высшей школы.</w:t>
            </w:r>
          </w:p>
        </w:tc>
        <w:tc>
          <w:tcPr>
            <w:tcW w:w="992" w:type="dxa"/>
            <w:shd w:val="clear" w:color="auto" w:fill="FFFFFF" w:themeFill="background1"/>
          </w:tcPr>
          <w:p w:rsidR="00BF7133" w:rsidRPr="008D1194" w:rsidRDefault="0091343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BF7133" w:rsidRPr="008D119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  <w:shd w:val="clear" w:color="auto" w:fill="FFFFFF" w:themeFill="background1"/>
          </w:tcPr>
          <w:p w:rsidR="00BF7133" w:rsidRPr="008D1194" w:rsidRDefault="002B77D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709" w:type="dxa"/>
          </w:tcPr>
          <w:p w:rsidR="00BF7133" w:rsidRPr="008D1194" w:rsidRDefault="008F1F7D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A43C5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A43C5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133" w:rsidRPr="008D1194" w:rsidTr="002B77D3">
        <w:tc>
          <w:tcPr>
            <w:tcW w:w="2122" w:type="dxa"/>
          </w:tcPr>
          <w:p w:rsidR="00BF7133" w:rsidRPr="008D1194" w:rsidRDefault="00BF7133" w:rsidP="00BF7133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Психология управления</w:t>
            </w:r>
          </w:p>
        </w:tc>
        <w:tc>
          <w:tcPr>
            <w:tcW w:w="4649" w:type="dxa"/>
          </w:tcPr>
          <w:p w:rsidR="00BF7133" w:rsidRPr="008D1194" w:rsidRDefault="002161BD" w:rsidP="002161BD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Дисциплина способствует формированию представлений о современных тенденциях научного управления - новой научной управленческой парадигме, помогает ориентироваться в основных разделах данной дисциплины: психологическом содержании управленческой деятельности, индивидуальной управленческой концепции руководителя, теоретических основах управленческого взаимодействия, психологических особенностях реализации основных управленческих функций, психологии субъекта управленческой деятельности. Направлена на приобретение навыков психологическо</w:t>
            </w:r>
            <w:r w:rsidR="0091343E" w:rsidRPr="008D1194">
              <w:rPr>
                <w:rFonts w:ascii="Times New Roman" w:hAnsi="Times New Roman"/>
                <w:sz w:val="24"/>
                <w:szCs w:val="24"/>
              </w:rPr>
              <w:t>го анализа взаимосвязи организа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>ционных проблем и качества реализации руководителем своих управленческих функций.</w:t>
            </w:r>
          </w:p>
        </w:tc>
        <w:tc>
          <w:tcPr>
            <w:tcW w:w="992" w:type="dxa"/>
            <w:shd w:val="clear" w:color="auto" w:fill="FFFFFF" w:themeFill="background1"/>
          </w:tcPr>
          <w:p w:rsidR="00BF7133" w:rsidRPr="008D1194" w:rsidRDefault="0091343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</w:t>
            </w:r>
            <w:r w:rsidR="00BF7133" w:rsidRPr="008D119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  <w:shd w:val="clear" w:color="auto" w:fill="FFFFFF" w:themeFill="background1"/>
          </w:tcPr>
          <w:p w:rsidR="00BF7133" w:rsidRPr="008D1194" w:rsidRDefault="002B77D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709" w:type="dxa"/>
          </w:tcPr>
          <w:p w:rsidR="00BF7133" w:rsidRPr="008D1194" w:rsidRDefault="008F1F7D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A43C5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A43C5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</w:tcPr>
          <w:p w:rsidR="00BF7133" w:rsidRPr="008D1194" w:rsidRDefault="00CB6B3C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7133" w:rsidRPr="008D1194" w:rsidTr="002B77D3">
        <w:tc>
          <w:tcPr>
            <w:tcW w:w="2122" w:type="dxa"/>
          </w:tcPr>
          <w:p w:rsidR="00BF7133" w:rsidRPr="008D1194" w:rsidRDefault="00BF7133" w:rsidP="00BF7133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4649" w:type="dxa"/>
          </w:tcPr>
          <w:p w:rsidR="00BF7133" w:rsidRPr="008D1194" w:rsidRDefault="0091343E" w:rsidP="00BF7133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знаний, умений и навыков при научно-исследовательской деятельности, решение стандартных научных задач</w:t>
            </w:r>
          </w:p>
        </w:tc>
        <w:tc>
          <w:tcPr>
            <w:tcW w:w="992" w:type="dxa"/>
            <w:shd w:val="clear" w:color="auto" w:fill="FFFFFF" w:themeFill="background1"/>
          </w:tcPr>
          <w:p w:rsidR="00BF7133" w:rsidRPr="008D1194" w:rsidRDefault="0091343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</w:t>
            </w:r>
            <w:r w:rsidR="00BF7133" w:rsidRPr="008D119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  <w:shd w:val="clear" w:color="auto" w:fill="FFFFFF" w:themeFill="background1"/>
          </w:tcPr>
          <w:p w:rsidR="00BF7133" w:rsidRPr="008D1194" w:rsidRDefault="002B77D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709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A43C5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33" w:rsidRPr="008D1194" w:rsidRDefault="00A43C5E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F7133" w:rsidRPr="008D1194" w:rsidRDefault="00BF7133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D8F" w:rsidRPr="008D1194" w:rsidTr="002B77D3">
        <w:tc>
          <w:tcPr>
            <w:tcW w:w="2122" w:type="dxa"/>
          </w:tcPr>
          <w:p w:rsidR="00817D8F" w:rsidRPr="008D1194" w:rsidRDefault="008F1F7D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Основы биоэтики</w:t>
            </w:r>
          </w:p>
        </w:tc>
        <w:tc>
          <w:tcPr>
            <w:tcW w:w="4649" w:type="dxa"/>
          </w:tcPr>
          <w:p w:rsidR="00817D8F" w:rsidRPr="008D1194" w:rsidRDefault="002B77D3" w:rsidP="002B77D3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Процесс изучения дисциплины направлен на формирование следующих компетенций: способность использовать знание основ и принципов биоэтики в профессиональной и социальной деятельности, способность и готовность вести дискуссию по социально-значимым проблемам биологии и экологии и медицины в целом.</w:t>
            </w:r>
          </w:p>
        </w:tc>
        <w:tc>
          <w:tcPr>
            <w:tcW w:w="992" w:type="dxa"/>
            <w:shd w:val="clear" w:color="auto" w:fill="FFFFFF" w:themeFill="background1"/>
          </w:tcPr>
          <w:p w:rsidR="00817D8F" w:rsidRPr="008D1194" w:rsidRDefault="00FC71C3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709" w:type="dxa"/>
          </w:tcPr>
          <w:p w:rsidR="00817D8F" w:rsidRPr="008D1194" w:rsidRDefault="008F1F7D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17D8F" w:rsidRPr="008D1194" w:rsidRDefault="00A43C5E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D8F" w:rsidRPr="008D1194" w:rsidTr="002B77D3">
        <w:tc>
          <w:tcPr>
            <w:tcW w:w="2122" w:type="dxa"/>
          </w:tcPr>
          <w:p w:rsidR="00817D8F" w:rsidRPr="008D1194" w:rsidRDefault="008F1F7D" w:rsidP="00F968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194">
              <w:rPr>
                <w:rFonts w:ascii="Times New Roman" w:hAnsi="Times New Roman"/>
                <w:sz w:val="24"/>
                <w:szCs w:val="24"/>
                <w:lang w:val="en-US"/>
              </w:rPr>
              <w:t>Биостатистика</w:t>
            </w:r>
            <w:proofErr w:type="spellEnd"/>
          </w:p>
        </w:tc>
        <w:tc>
          <w:tcPr>
            <w:tcW w:w="4649" w:type="dxa"/>
          </w:tcPr>
          <w:p w:rsidR="00817D8F" w:rsidRPr="008D1194" w:rsidRDefault="002B77D3" w:rsidP="002B77D3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Изучение дисциплины направлено на формирование понимания и целостного восприятия базовой статистической концепции и концепции доказательств в </w:t>
            </w: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медицине, клинической и статистической значимости результатов исследований. Приобретение знаний об основах медико-биологической статистики и ее применении в фармакологических исследованиях, методологических инструментах описательной и аналитической статистики, видах и особенностях медико-биологических исследований, экспериментальных и клинических исследований в области фармакологии.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817D8F" w:rsidRPr="008D1194" w:rsidRDefault="002B77D3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709" w:type="dxa"/>
          </w:tcPr>
          <w:p w:rsidR="00817D8F" w:rsidRPr="008D1194" w:rsidRDefault="008F1F7D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17D8F" w:rsidRPr="008D1194" w:rsidRDefault="00A43C5E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A43C5E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A43C5E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D8F" w:rsidRPr="008D1194" w:rsidTr="002B77D3">
        <w:tc>
          <w:tcPr>
            <w:tcW w:w="2122" w:type="dxa"/>
          </w:tcPr>
          <w:p w:rsidR="00817D8F" w:rsidRPr="008D1194" w:rsidRDefault="008F1F7D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управление здравоохранение</w:t>
            </w:r>
          </w:p>
        </w:tc>
        <w:tc>
          <w:tcPr>
            <w:tcW w:w="4649" w:type="dxa"/>
          </w:tcPr>
          <w:p w:rsidR="00817D8F" w:rsidRPr="008D1194" w:rsidRDefault="002B77D3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Основной целью данного курса становится исследование способности современных организаций к использованию достижений теории и практики современного менеджмента. Курс нацелен на развитие навыков эффективного управления и способности к принятию обоснованных управленческих решений в сфере управления организациями здравоохранения.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817D8F" w:rsidRPr="008D1194" w:rsidRDefault="002B77D3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709" w:type="dxa"/>
          </w:tcPr>
          <w:p w:rsidR="00817D8F" w:rsidRPr="008D1194" w:rsidRDefault="008F1F7D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A43C5E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A43C5E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</w:tcPr>
          <w:p w:rsidR="00817D8F" w:rsidRPr="008D1194" w:rsidRDefault="00CB6B3C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17D8F" w:rsidRPr="008D1194" w:rsidTr="002B77D3">
        <w:tc>
          <w:tcPr>
            <w:tcW w:w="2122" w:type="dxa"/>
          </w:tcPr>
          <w:p w:rsidR="00817D8F" w:rsidRPr="008D1194" w:rsidRDefault="008F1F7D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Основы методологии преподавания в медицине</w:t>
            </w:r>
          </w:p>
        </w:tc>
        <w:tc>
          <w:tcPr>
            <w:tcW w:w="4649" w:type="dxa"/>
          </w:tcPr>
          <w:p w:rsidR="00817D8F" w:rsidRPr="008D1194" w:rsidRDefault="002B77D3" w:rsidP="008071C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 направлен на</w:t>
            </w:r>
            <w:r w:rsidR="008071CF"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изучение</w:t>
            </w:r>
            <w:r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071CF"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задач медицинского образования, изучение способов</w:t>
            </w:r>
            <w:r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акти</w:t>
            </w:r>
            <w:r w:rsidR="008071CF"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визации предшествующих знаний, стилей обучения, м</w:t>
            </w:r>
            <w:r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етоды преподавания. </w:t>
            </w:r>
            <w:r w:rsidR="008071CF"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Способствует р</w:t>
            </w:r>
            <w:r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азработк</w:t>
            </w:r>
            <w:r w:rsidR="008071CF"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индивидуаль</w:t>
            </w:r>
            <w:r w:rsidR="008071CF"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ной образовательной траектории, правил и методов </w:t>
            </w:r>
            <w:r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 в группах.</w:t>
            </w:r>
          </w:p>
        </w:tc>
        <w:tc>
          <w:tcPr>
            <w:tcW w:w="992" w:type="dxa"/>
            <w:shd w:val="clear" w:color="auto" w:fill="FFFFFF" w:themeFill="background1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709" w:type="dxa"/>
          </w:tcPr>
          <w:p w:rsidR="00817D8F" w:rsidRPr="008D1194" w:rsidRDefault="008F1F7D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A43C5E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D8F" w:rsidRPr="008D1194" w:rsidTr="002B77D3">
        <w:tc>
          <w:tcPr>
            <w:tcW w:w="2122" w:type="dxa"/>
          </w:tcPr>
          <w:p w:rsidR="00817D8F" w:rsidRPr="008D1194" w:rsidRDefault="008F1F7D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Основы клинической эпидемиологии и доказательная медицина</w:t>
            </w:r>
          </w:p>
        </w:tc>
        <w:tc>
          <w:tcPr>
            <w:tcW w:w="4649" w:type="dxa"/>
          </w:tcPr>
          <w:p w:rsidR="00817D8F" w:rsidRPr="008D1194" w:rsidRDefault="00830A43" w:rsidP="00830A43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Направлена на ознакомление студентов с методологией оценки, выявления изменений и прогноза здоровья населения и среды обитания. Способствует приобретению новых знаний по вопросам диагностики, профилактики и лечения, а также улучшения прогноза заболеваний в практике врача-эпидемиолога с позиций </w:t>
            </w: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доказательной медицины. Воспитывает практические навыки, необходимые для использования в будущей профессиональной деятельности в лечебно</w:t>
            </w:r>
            <w:r w:rsidR="00307D2A" w:rsidRPr="008D1194">
              <w:rPr>
                <w:rFonts w:ascii="Times New Roman" w:hAnsi="Times New Roman"/>
                <w:sz w:val="24"/>
                <w:szCs w:val="24"/>
              </w:rPr>
              <w:t>-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>профилактических учреждениях.</w:t>
            </w:r>
          </w:p>
        </w:tc>
        <w:tc>
          <w:tcPr>
            <w:tcW w:w="992" w:type="dxa"/>
            <w:shd w:val="clear" w:color="auto" w:fill="FFFFFF" w:themeFill="background1"/>
          </w:tcPr>
          <w:p w:rsidR="00817D8F" w:rsidRPr="008D1194" w:rsidRDefault="00FC71C3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817D8F" w:rsidRPr="008D1194" w:rsidRDefault="002B77D3" w:rsidP="002B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709" w:type="dxa"/>
          </w:tcPr>
          <w:p w:rsidR="00817D8F" w:rsidRPr="008D1194" w:rsidRDefault="008F1F7D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17D8F" w:rsidRPr="008D1194" w:rsidRDefault="00A43C5E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A43C5E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D8F" w:rsidRPr="008D1194" w:rsidTr="002B77D3">
        <w:tc>
          <w:tcPr>
            <w:tcW w:w="2122" w:type="dxa"/>
          </w:tcPr>
          <w:p w:rsidR="00817D8F" w:rsidRPr="008D1194" w:rsidRDefault="008F1F7D" w:rsidP="00F968A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Основы ме</w:t>
            </w:r>
            <w:r w:rsidR="008F039A" w:rsidRPr="008D1194">
              <w:rPr>
                <w:rFonts w:ascii="Times New Roman" w:hAnsi="Times New Roman"/>
                <w:sz w:val="24"/>
                <w:szCs w:val="24"/>
              </w:rPr>
              <w:t xml:space="preserve">тодологии научных исследований 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>в медицине</w:t>
            </w:r>
          </w:p>
        </w:tc>
        <w:tc>
          <w:tcPr>
            <w:tcW w:w="4649" w:type="dxa"/>
          </w:tcPr>
          <w:p w:rsidR="00817D8F" w:rsidRPr="008D1194" w:rsidRDefault="00830A43" w:rsidP="00830A43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Целью изучения дисциплины является подготовка специалистов, владеющих основопола</w:t>
            </w:r>
            <w:r w:rsidR="008F039A" w:rsidRPr="008D1194">
              <w:rPr>
                <w:rFonts w:ascii="Times New Roman" w:hAnsi="Times New Roman"/>
                <w:sz w:val="24"/>
                <w:szCs w:val="24"/>
              </w:rPr>
              <w:t>гающими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 теоретическими знаниями и практическими навыками необходимыми</w:t>
            </w:r>
            <w:r w:rsidR="008F039A" w:rsidRPr="008D1194">
              <w:rPr>
                <w:rFonts w:ascii="Times New Roman" w:hAnsi="Times New Roman"/>
                <w:sz w:val="24"/>
                <w:szCs w:val="24"/>
              </w:rPr>
              <w:t xml:space="preserve"> для проведения научной работы. Способствует выработке навыков успешного и своевременного написания научных работ.</w:t>
            </w:r>
          </w:p>
        </w:tc>
        <w:tc>
          <w:tcPr>
            <w:tcW w:w="992" w:type="dxa"/>
            <w:shd w:val="clear" w:color="auto" w:fill="FFFFFF" w:themeFill="background1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817D8F" w:rsidRPr="008D1194" w:rsidRDefault="002B77D3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709" w:type="dxa"/>
          </w:tcPr>
          <w:p w:rsidR="00817D8F" w:rsidRPr="008D1194" w:rsidRDefault="008F1F7D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17D8F" w:rsidRPr="008D1194" w:rsidRDefault="00A43C5E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A43C5E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D8F" w:rsidRPr="008D1194" w:rsidRDefault="00A43C5E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7D8F" w:rsidRPr="008D1194" w:rsidRDefault="00817D8F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17D8F" w:rsidRPr="008D1194" w:rsidRDefault="00CB6B3C" w:rsidP="00F9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C7AEC" w:rsidRPr="008D1194" w:rsidTr="001A2D25">
        <w:tc>
          <w:tcPr>
            <w:tcW w:w="15127" w:type="dxa"/>
            <w:gridSpan w:val="13"/>
            <w:shd w:val="clear" w:color="auto" w:fill="auto"/>
          </w:tcPr>
          <w:p w:rsidR="00BC7AEC" w:rsidRPr="008D1194" w:rsidRDefault="00BC7AEC" w:rsidP="00F96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Хирургическое направление</w:t>
            </w:r>
          </w:p>
        </w:tc>
      </w:tr>
      <w:tr w:rsidR="00A25C8C" w:rsidRPr="008D1194" w:rsidTr="001A2D25">
        <w:tc>
          <w:tcPr>
            <w:tcW w:w="2122" w:type="dxa"/>
            <w:shd w:val="clear" w:color="auto" w:fill="auto"/>
          </w:tcPr>
          <w:p w:rsidR="00E61FE4" w:rsidRPr="008D1194" w:rsidRDefault="007E0335" w:rsidP="00E61FE4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репродуктология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E61FE4" w:rsidRPr="008D1194" w:rsidRDefault="00707B77" w:rsidP="002C1314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Рассматриваются современные достижения медицины в изучении </w:t>
            </w:r>
            <w:r w:rsidRPr="008D11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экологически</w:t>
            </w:r>
            <w:r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зависимых адаптационно-приспособительных и патологических реакций репродуктивной системы человека исходя из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 особенностей репродуктивной функции человека, прогресса современной медицины и достижений науки</w:t>
            </w:r>
          </w:p>
        </w:tc>
        <w:tc>
          <w:tcPr>
            <w:tcW w:w="992" w:type="dxa"/>
            <w:shd w:val="clear" w:color="auto" w:fill="auto"/>
          </w:tcPr>
          <w:p w:rsidR="00E61FE4" w:rsidRPr="008D1194" w:rsidRDefault="007E0335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2126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E61FE4" w:rsidRPr="008D1194" w:rsidRDefault="007E0335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8C" w:rsidRPr="008D1194" w:rsidTr="001A2D25">
        <w:tc>
          <w:tcPr>
            <w:tcW w:w="2122" w:type="dxa"/>
            <w:shd w:val="clear" w:color="auto" w:fill="auto"/>
          </w:tcPr>
          <w:p w:rsidR="00E61FE4" w:rsidRPr="008D1194" w:rsidRDefault="007E0335" w:rsidP="00E61F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организации и проведения научно-клинического исследования в стоматологии</w:t>
            </w:r>
          </w:p>
        </w:tc>
        <w:tc>
          <w:tcPr>
            <w:tcW w:w="4649" w:type="dxa"/>
            <w:shd w:val="clear" w:color="auto" w:fill="auto"/>
          </w:tcPr>
          <w:p w:rsidR="00E61FE4" w:rsidRPr="008D1194" w:rsidRDefault="00707B77" w:rsidP="009321EF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5"/>
              </w:rPr>
              <w:t xml:space="preserve">Данный цикл направлен на углубленное изучение различных методов исследований, совершенствование умений планировать, контролировать, оценивать качество, интерпретировать результаты исследований в соответствии с </w:t>
            </w:r>
            <w:r w:rsidR="009321EF" w:rsidRPr="008D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5"/>
              </w:rPr>
              <w:t xml:space="preserve">последними достижениями в стоматологии, </w:t>
            </w:r>
            <w:r w:rsidRPr="008D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5"/>
              </w:rPr>
              <w:t>челюстно-лицевой хирургии</w:t>
            </w:r>
            <w:r w:rsidR="009321EF" w:rsidRPr="008D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5"/>
              </w:rPr>
              <w:t xml:space="preserve"> и медицине в целом</w:t>
            </w:r>
          </w:p>
        </w:tc>
        <w:tc>
          <w:tcPr>
            <w:tcW w:w="992" w:type="dxa"/>
            <w:shd w:val="clear" w:color="auto" w:fill="auto"/>
          </w:tcPr>
          <w:p w:rsidR="00E61FE4" w:rsidRPr="008D1194" w:rsidRDefault="007E0335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E61FE4" w:rsidRPr="008D1194" w:rsidRDefault="007E0335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1</w:t>
            </w:r>
            <w:r w:rsidR="00E61FE4" w:rsidRPr="008D1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E61FE4" w:rsidRPr="008D1194" w:rsidRDefault="00E61FE4" w:rsidP="00E6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8" w:rsidRPr="008D1194" w:rsidTr="00041707">
        <w:tc>
          <w:tcPr>
            <w:tcW w:w="2122" w:type="dxa"/>
            <w:shd w:val="clear" w:color="auto" w:fill="auto"/>
          </w:tcPr>
          <w:p w:rsidR="00D433D8" w:rsidRPr="008D1194" w:rsidRDefault="00D433D8" w:rsidP="00D43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color w:val="000000"/>
                <w:sz w:val="24"/>
                <w:szCs w:val="24"/>
              </w:rPr>
              <w:t>Избранные вопросы анестезиологии в травматологии</w:t>
            </w:r>
          </w:p>
        </w:tc>
        <w:tc>
          <w:tcPr>
            <w:tcW w:w="4649" w:type="dxa"/>
            <w:shd w:val="clear" w:color="auto" w:fill="auto"/>
          </w:tcPr>
          <w:p w:rsidR="00D433D8" w:rsidRPr="008D1194" w:rsidRDefault="005034EA" w:rsidP="00041707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Данный </w:t>
            </w:r>
            <w:r w:rsidR="00041707" w:rsidRPr="008D1194">
              <w:rPr>
                <w:rFonts w:ascii="Times New Roman" w:hAnsi="Times New Roman"/>
                <w:sz w:val="24"/>
                <w:szCs w:val="24"/>
              </w:rPr>
              <w:t>цикл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 рассматривае</w:t>
            </w:r>
            <w:r w:rsidR="00041707" w:rsidRPr="008D1194">
              <w:rPr>
                <w:rFonts w:ascii="Times New Roman" w:hAnsi="Times New Roman"/>
                <w:sz w:val="24"/>
                <w:szCs w:val="24"/>
              </w:rPr>
              <w:t>т современный взгляд и формируе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>т концепцию лечения пациентов с повреждением и заболеванием в области пальцев и кисти.</w:t>
            </w:r>
            <w:r w:rsidR="00041707" w:rsidRPr="008D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Рассматриваются вопросы как оперативного, так и консервативного </w:t>
            </w: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лечения. Особое внимание уделяется </w:t>
            </w:r>
            <w:r w:rsidR="00041707" w:rsidRPr="008D1194">
              <w:rPr>
                <w:rFonts w:ascii="Times New Roman" w:hAnsi="Times New Roman"/>
                <w:sz w:val="24"/>
                <w:szCs w:val="24"/>
              </w:rPr>
              <w:t xml:space="preserve">современным 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методам реабилитации </w:t>
            </w:r>
            <w:r w:rsidR="00041707" w:rsidRPr="008D119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>и патологии в области кистевого сустава.</w:t>
            </w:r>
          </w:p>
        </w:tc>
        <w:tc>
          <w:tcPr>
            <w:tcW w:w="992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2126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8" w:rsidRPr="008D1194" w:rsidTr="001A2D25">
        <w:tc>
          <w:tcPr>
            <w:tcW w:w="2122" w:type="dxa"/>
            <w:shd w:val="clear" w:color="auto" w:fill="auto"/>
          </w:tcPr>
          <w:p w:rsidR="00D433D8" w:rsidRPr="008D1194" w:rsidRDefault="00D433D8" w:rsidP="00D43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VATS технологии в хирургии заболеваний и травм грудной клетки</w:t>
            </w:r>
          </w:p>
        </w:tc>
        <w:tc>
          <w:tcPr>
            <w:tcW w:w="4649" w:type="dxa"/>
            <w:shd w:val="clear" w:color="auto" w:fill="auto"/>
          </w:tcPr>
          <w:p w:rsidR="00D433D8" w:rsidRPr="008D1194" w:rsidRDefault="009321EF" w:rsidP="001A2D25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Рассматриваются современные методы и подходы в </w:t>
            </w:r>
            <w:proofErr w:type="spellStart"/>
            <w:r w:rsidRPr="008D1194">
              <w:rPr>
                <w:rStyle w:val="hl"/>
                <w:rFonts w:ascii="Times New Roman" w:hAnsi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EEEEEE"/>
              </w:rPr>
              <w:t>видеоассистированной</w:t>
            </w:r>
            <w:proofErr w:type="spellEnd"/>
            <w:r w:rsidRPr="008D1194">
              <w:rPr>
                <w:rStyle w:val="hl"/>
                <w:rFonts w:ascii="Times New Roman" w:hAnsi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EEEEEE"/>
              </w:rPr>
              <w:t xml:space="preserve"> торакальной хирургии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, углубленное изучение современных подходов и тактик лечения, </w:t>
            </w:r>
            <w:r w:rsidRPr="008D119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эффективность </w:t>
            </w:r>
            <w:r w:rsidR="001A2D25" w:rsidRPr="008D119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 качество </w:t>
            </w:r>
            <w:r w:rsidRPr="008D1194">
              <w:rPr>
                <w:rFonts w:ascii="Times New Roman" w:hAnsi="Times New Roman"/>
                <w:color w:val="000000"/>
                <w:sz w:val="23"/>
                <w:szCs w:val="23"/>
              </w:rPr>
              <w:t>которых доказана принципами доказательной медицины</w:t>
            </w:r>
          </w:p>
        </w:tc>
        <w:tc>
          <w:tcPr>
            <w:tcW w:w="992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2126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8" w:rsidRPr="008D1194" w:rsidTr="001A2D25">
        <w:tc>
          <w:tcPr>
            <w:tcW w:w="15127" w:type="dxa"/>
            <w:gridSpan w:val="13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Педиатрическое направление</w:t>
            </w:r>
          </w:p>
        </w:tc>
      </w:tr>
      <w:tr w:rsidR="00D433D8" w:rsidRPr="008D1194" w:rsidTr="001A2D25">
        <w:tc>
          <w:tcPr>
            <w:tcW w:w="2122" w:type="dxa"/>
            <w:shd w:val="clear" w:color="auto" w:fill="auto"/>
          </w:tcPr>
          <w:p w:rsidR="00D433D8" w:rsidRPr="008D1194" w:rsidRDefault="00D433D8" w:rsidP="00D433D8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Рациональная антибактериальная терапия при заболеваниях органов дыхания у детей</w:t>
            </w:r>
          </w:p>
        </w:tc>
        <w:tc>
          <w:tcPr>
            <w:tcW w:w="4649" w:type="dxa"/>
            <w:shd w:val="clear" w:color="auto" w:fill="auto"/>
          </w:tcPr>
          <w:p w:rsidR="00D433D8" w:rsidRPr="008D1194" w:rsidRDefault="001A2D25" w:rsidP="001A2D25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Углубленное изучение инновационных диагностических методов, новейших методик антибактериальной терапии у пациентов с острыми и рецидивирующими респираторными заболеваниями верхних дыхательных путей согласно новейшим прорывам и перспективам развития медицины</w:t>
            </w:r>
          </w:p>
        </w:tc>
        <w:tc>
          <w:tcPr>
            <w:tcW w:w="992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8" w:rsidRPr="008D1194" w:rsidTr="001A2D25">
        <w:tc>
          <w:tcPr>
            <w:tcW w:w="2122" w:type="dxa"/>
            <w:shd w:val="clear" w:color="auto" w:fill="auto"/>
          </w:tcPr>
          <w:p w:rsidR="00D433D8" w:rsidRPr="008D1194" w:rsidRDefault="00D433D8" w:rsidP="00D433D8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Микробиологические аспекты респи</w:t>
            </w:r>
            <w:r w:rsidR="001A2D25" w:rsidRPr="008D1194">
              <w:rPr>
                <w:rFonts w:ascii="Times New Roman" w:hAnsi="Times New Roman"/>
                <w:sz w:val="24"/>
                <w:szCs w:val="24"/>
              </w:rPr>
              <w:t>р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>аторной патологии у детей</w:t>
            </w:r>
          </w:p>
        </w:tc>
        <w:tc>
          <w:tcPr>
            <w:tcW w:w="4649" w:type="dxa"/>
            <w:shd w:val="clear" w:color="auto" w:fill="auto"/>
          </w:tcPr>
          <w:p w:rsidR="001A2D25" w:rsidRPr="008D1194" w:rsidRDefault="001A2D25" w:rsidP="001A2D25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Углубленное изучение роли микробных агентов в развитии респираторной патологии, закономерности функций внешнего дыхания у пациентов детского возраста с рецидивирующими респираторными заболеваниями верхних дыхательных путей с позиции современной доказательной медицины </w:t>
            </w:r>
          </w:p>
        </w:tc>
        <w:tc>
          <w:tcPr>
            <w:tcW w:w="992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76A" w:rsidRPr="008D1194" w:rsidTr="001A2D25">
        <w:tc>
          <w:tcPr>
            <w:tcW w:w="2122" w:type="dxa"/>
            <w:shd w:val="clear" w:color="auto" w:fill="auto"/>
          </w:tcPr>
          <w:p w:rsidR="00ED476A" w:rsidRPr="008D1194" w:rsidRDefault="00ED476A" w:rsidP="00ED476A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Генетические аспекты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онкогематологии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1A2D25" w:rsidRPr="008D1194" w:rsidRDefault="001A2D25" w:rsidP="001A2D25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Изучение новейших методов диагностики генетических и патоморфологических основ формирования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онкогематологии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</w:rPr>
              <w:t xml:space="preserve">, освоение тактик лечения и профилактики неотложных состояний у детей с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онкогематологией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исходя из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 особенностей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онкозаболевания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</w:rPr>
              <w:t>, прогресса современной медицины и передовых достижений науки</w:t>
            </w:r>
          </w:p>
        </w:tc>
        <w:tc>
          <w:tcPr>
            <w:tcW w:w="992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ED476A" w:rsidRPr="008D1194" w:rsidRDefault="00ED476A" w:rsidP="00ED476A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76A" w:rsidRPr="008D1194" w:rsidTr="00C150B2">
        <w:tc>
          <w:tcPr>
            <w:tcW w:w="2122" w:type="dxa"/>
            <w:shd w:val="clear" w:color="auto" w:fill="auto"/>
          </w:tcPr>
          <w:p w:rsidR="00ED476A" w:rsidRPr="008D1194" w:rsidRDefault="00ED476A" w:rsidP="00ED476A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Респираторные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аллергозы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4649" w:type="dxa"/>
            <w:shd w:val="clear" w:color="auto" w:fill="auto"/>
          </w:tcPr>
          <w:p w:rsidR="00C150B2" w:rsidRPr="008D1194" w:rsidRDefault="00C150B2" w:rsidP="00C150B2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Цикл направлен на изучение</w:t>
            </w:r>
            <w:r w:rsidR="001A2D25" w:rsidRPr="008D1194">
              <w:rPr>
                <w:rFonts w:ascii="Times New Roman" w:hAnsi="Times New Roman"/>
                <w:sz w:val="24"/>
                <w:szCs w:val="24"/>
              </w:rPr>
              <w:t xml:space="preserve"> критери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>ев</w:t>
            </w:r>
            <w:r w:rsidR="001A2D25" w:rsidRPr="008D1194">
              <w:rPr>
                <w:rFonts w:ascii="Times New Roman" w:hAnsi="Times New Roman"/>
                <w:sz w:val="24"/>
                <w:szCs w:val="24"/>
              </w:rPr>
              <w:t xml:space="preserve"> диагностики, рентгенологическую и компьютерно-</w:t>
            </w:r>
            <w:proofErr w:type="spellStart"/>
            <w:r w:rsidR="001A2D25" w:rsidRPr="008D1194">
              <w:rPr>
                <w:rFonts w:ascii="Times New Roman" w:hAnsi="Times New Roman"/>
                <w:sz w:val="24"/>
                <w:szCs w:val="24"/>
              </w:rPr>
              <w:t>томографическую</w:t>
            </w:r>
            <w:proofErr w:type="spellEnd"/>
            <w:r w:rsidR="001A2D25" w:rsidRPr="008D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D25" w:rsidRPr="008D1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семиотику, </w:t>
            </w:r>
            <w:proofErr w:type="spellStart"/>
            <w:r w:rsidR="001A2D25" w:rsidRPr="008D1194">
              <w:rPr>
                <w:rFonts w:ascii="Times New Roman" w:hAnsi="Times New Roman"/>
                <w:sz w:val="24"/>
                <w:szCs w:val="24"/>
              </w:rPr>
              <w:t>клинико</w:t>
            </w:r>
            <w:proofErr w:type="spellEnd"/>
            <w:r w:rsidR="001A2D25" w:rsidRPr="008D1194">
              <w:rPr>
                <w:rFonts w:ascii="Times New Roman" w:hAnsi="Times New Roman"/>
                <w:sz w:val="24"/>
                <w:szCs w:val="24"/>
              </w:rPr>
              <w:t xml:space="preserve"> - фармакологические особенности терапии заболеваний органов дыхания у детей</w:t>
            </w:r>
          </w:p>
        </w:tc>
        <w:tc>
          <w:tcPr>
            <w:tcW w:w="992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2126" w:type="dxa"/>
            <w:shd w:val="clear" w:color="auto" w:fill="auto"/>
          </w:tcPr>
          <w:p w:rsidR="00ED476A" w:rsidRPr="008D1194" w:rsidRDefault="00ED476A" w:rsidP="00ED476A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76A" w:rsidRPr="008D1194" w:rsidTr="00C150B2">
        <w:tc>
          <w:tcPr>
            <w:tcW w:w="2122" w:type="dxa"/>
            <w:shd w:val="clear" w:color="auto" w:fill="auto"/>
          </w:tcPr>
          <w:p w:rsidR="00ED476A" w:rsidRPr="008D1194" w:rsidRDefault="00ED476A" w:rsidP="00ED476A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фармакокинетики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фармакодинамики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средств, применяемых в стоматологии детского возраста</w:t>
            </w:r>
          </w:p>
        </w:tc>
        <w:tc>
          <w:tcPr>
            <w:tcW w:w="4649" w:type="dxa"/>
            <w:shd w:val="clear" w:color="auto" w:fill="auto"/>
          </w:tcPr>
          <w:p w:rsidR="00ED476A" w:rsidRPr="008D1194" w:rsidRDefault="00C150B2" w:rsidP="00C150B2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Изучение особенностей фармакологического лечения в комплексном лечении кариозного поражения зубов исходя из эпидемиологии стоматологических заболеваний с применением инновационных методов диагностики и лечения в современной стоматологии</w:t>
            </w:r>
          </w:p>
        </w:tc>
        <w:tc>
          <w:tcPr>
            <w:tcW w:w="992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2126" w:type="dxa"/>
            <w:shd w:val="clear" w:color="auto" w:fill="auto"/>
          </w:tcPr>
          <w:p w:rsidR="00ED476A" w:rsidRPr="008D1194" w:rsidRDefault="00ED476A" w:rsidP="00ED476A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ED476A" w:rsidRPr="008D1194" w:rsidRDefault="00ED476A" w:rsidP="00ED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8" w:rsidRPr="008D1194" w:rsidTr="0092518C">
        <w:tc>
          <w:tcPr>
            <w:tcW w:w="15127" w:type="dxa"/>
            <w:gridSpan w:val="13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Терапевтическое направление</w:t>
            </w:r>
          </w:p>
        </w:tc>
      </w:tr>
      <w:tr w:rsidR="00D433D8" w:rsidRPr="008D1194" w:rsidTr="0092518C">
        <w:tc>
          <w:tcPr>
            <w:tcW w:w="2122" w:type="dxa"/>
            <w:shd w:val="clear" w:color="auto" w:fill="auto"/>
          </w:tcPr>
          <w:p w:rsidR="00D433D8" w:rsidRPr="008D1194" w:rsidRDefault="00ED476A" w:rsidP="00D433D8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Основы клинических рекомендаций по диагностике и лечению заболеваний в эндокринологии</w:t>
            </w:r>
          </w:p>
        </w:tc>
        <w:tc>
          <w:tcPr>
            <w:tcW w:w="4649" w:type="dxa"/>
            <w:shd w:val="clear" w:color="auto" w:fill="auto"/>
          </w:tcPr>
          <w:p w:rsidR="0092518C" w:rsidRPr="008D1194" w:rsidRDefault="0092518C" w:rsidP="0092518C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Изучение передовых методов диагностики и ведения пациентов с эндокринной патологией в соответствии с инновационными подходами к </w:t>
            </w:r>
            <w:r w:rsidRPr="008D11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индивидуальным особенностям заболевания, оценке наличие факторов, влияющих на прогноз заболевания, его тяжесть, скорость развития и препятствию возможных осложнений</w:t>
            </w:r>
          </w:p>
        </w:tc>
        <w:tc>
          <w:tcPr>
            <w:tcW w:w="992" w:type="dxa"/>
            <w:shd w:val="clear" w:color="auto" w:fill="auto"/>
          </w:tcPr>
          <w:p w:rsidR="00D433D8" w:rsidRPr="008D1194" w:rsidRDefault="00ED476A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D433D8" w:rsidRPr="008D1194" w:rsidRDefault="00ED476A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8E6" w:rsidRPr="008D1194" w:rsidTr="006A7CFA">
        <w:tc>
          <w:tcPr>
            <w:tcW w:w="2122" w:type="dxa"/>
            <w:shd w:val="clear" w:color="auto" w:fill="auto"/>
          </w:tcPr>
          <w:p w:rsidR="000158E6" w:rsidRPr="008D1194" w:rsidRDefault="000158E6" w:rsidP="000158E6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Современная фармакотерапия сахарного диабета 2 типа при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сердчено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</w:rPr>
              <w:t>-сосудистых патологиях</w:t>
            </w:r>
          </w:p>
        </w:tc>
        <w:tc>
          <w:tcPr>
            <w:tcW w:w="4649" w:type="dxa"/>
            <w:shd w:val="clear" w:color="auto" w:fill="auto"/>
          </w:tcPr>
          <w:p w:rsidR="000158E6" w:rsidRPr="008D1194" w:rsidRDefault="0092518C" w:rsidP="006A7CFA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Совершенствование умений и знаний по диагностике и ведени</w:t>
            </w:r>
            <w:r w:rsidR="006A7CFA" w:rsidRPr="008D1194">
              <w:rPr>
                <w:rFonts w:ascii="Times New Roman" w:hAnsi="Times New Roman"/>
                <w:sz w:val="24"/>
                <w:szCs w:val="24"/>
              </w:rPr>
              <w:t>ю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 пациентов с сахарн</w:t>
            </w:r>
            <w:r w:rsidR="006A7CFA" w:rsidRPr="008D1194">
              <w:rPr>
                <w:rFonts w:ascii="Times New Roman" w:hAnsi="Times New Roman"/>
                <w:sz w:val="24"/>
                <w:szCs w:val="24"/>
              </w:rPr>
              <w:t>ым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 диабет</w:t>
            </w:r>
            <w:r w:rsidR="006A7CFA" w:rsidRPr="008D119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CFA" w:rsidRPr="008D1194">
              <w:rPr>
                <w:rFonts w:ascii="Times New Roman" w:hAnsi="Times New Roman"/>
                <w:sz w:val="24"/>
                <w:szCs w:val="24"/>
              </w:rPr>
              <w:t>в сочетании с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 ССЗ. Изучение </w:t>
            </w:r>
            <w:r w:rsidR="006A7CFA" w:rsidRPr="008D1194">
              <w:rPr>
                <w:rFonts w:ascii="Times New Roman" w:hAnsi="Times New Roman"/>
                <w:sz w:val="24"/>
                <w:szCs w:val="24"/>
              </w:rPr>
              <w:t>современных подходов фармакологического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 xml:space="preserve"> лечения и профилактики </w:t>
            </w:r>
            <w:r w:rsidR="006A7CFA" w:rsidRPr="008D1194">
              <w:rPr>
                <w:rFonts w:ascii="Times New Roman" w:hAnsi="Times New Roman"/>
                <w:sz w:val="24"/>
                <w:szCs w:val="24"/>
              </w:rPr>
              <w:t xml:space="preserve">СД при 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>сердечн</w:t>
            </w:r>
            <w:r w:rsidR="006A7CFA" w:rsidRPr="008D1194">
              <w:rPr>
                <w:rFonts w:ascii="Times New Roman" w:hAnsi="Times New Roman"/>
                <w:sz w:val="24"/>
                <w:szCs w:val="24"/>
              </w:rPr>
              <w:t>о-сосудистых осложнениях в соответствии с новейшими методиками, основанными на доказательной медицине</w:t>
            </w:r>
          </w:p>
        </w:tc>
        <w:tc>
          <w:tcPr>
            <w:tcW w:w="992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2126" w:type="dxa"/>
            <w:shd w:val="clear" w:color="auto" w:fill="auto"/>
          </w:tcPr>
          <w:p w:rsidR="000158E6" w:rsidRPr="008D1194" w:rsidRDefault="000158E6" w:rsidP="000158E6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8E6" w:rsidRPr="008D1194" w:rsidTr="00BE406E">
        <w:tc>
          <w:tcPr>
            <w:tcW w:w="2122" w:type="dxa"/>
            <w:shd w:val="clear" w:color="auto" w:fill="auto"/>
          </w:tcPr>
          <w:p w:rsidR="000158E6" w:rsidRPr="008D1194" w:rsidRDefault="000158E6" w:rsidP="000158E6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Диссеминированные заболевания легких</w:t>
            </w:r>
          </w:p>
        </w:tc>
        <w:tc>
          <w:tcPr>
            <w:tcW w:w="4649" w:type="dxa"/>
            <w:shd w:val="clear" w:color="auto" w:fill="auto"/>
          </w:tcPr>
          <w:p w:rsidR="000158E6" w:rsidRPr="008D1194" w:rsidRDefault="006A7CFA" w:rsidP="00BE406E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Изучение современных подходов в </w:t>
            </w:r>
            <w:r w:rsidR="00BE406E" w:rsidRPr="008D1194">
              <w:rPr>
                <w:rFonts w:ascii="Times New Roman" w:hAnsi="Times New Roman"/>
                <w:sz w:val="24"/>
                <w:szCs w:val="24"/>
              </w:rPr>
              <w:t xml:space="preserve">компьютерной томографии 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>пациентов с диссеминированными заболеваниями легких</w:t>
            </w:r>
            <w:r w:rsidR="00BE406E" w:rsidRPr="008D1194">
              <w:rPr>
                <w:rFonts w:ascii="Times New Roman" w:hAnsi="Times New Roman"/>
                <w:sz w:val="24"/>
                <w:szCs w:val="24"/>
              </w:rPr>
              <w:t xml:space="preserve"> при стертых, неспецифичных клинических проявлениях, отсутствии четких патогномоничных симптомов </w:t>
            </w:r>
          </w:p>
        </w:tc>
        <w:tc>
          <w:tcPr>
            <w:tcW w:w="992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0158E6" w:rsidRPr="008D1194" w:rsidRDefault="000158E6" w:rsidP="000158E6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8E6" w:rsidRPr="008D1194" w:rsidTr="00BE406E">
        <w:tc>
          <w:tcPr>
            <w:tcW w:w="2122" w:type="dxa"/>
            <w:shd w:val="clear" w:color="auto" w:fill="auto"/>
          </w:tcPr>
          <w:p w:rsidR="000158E6" w:rsidRPr="008D1194" w:rsidRDefault="000158E6" w:rsidP="000158E6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Избранные вопросы современной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гепатологии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BE406E" w:rsidRPr="008D1194" w:rsidRDefault="00BE406E" w:rsidP="00BE406E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Цикл направлен на ознакомление обучающихся с более продвинутыми концепциями, необходимыми для развития их понимания патологии печени различного генеза до уровня, ожидаемого на уровне магистратуры. Данная дисциплина рассматривает вопросы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гепатологии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</w:rPr>
              <w:t xml:space="preserve">, такие как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хроническии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</w:rPr>
              <w:t xml:space="preserve"> гепатит, цирроз, рак печени, токсическое поражение печени.</w:t>
            </w:r>
          </w:p>
        </w:tc>
        <w:tc>
          <w:tcPr>
            <w:tcW w:w="992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0158E6" w:rsidRPr="008D1194" w:rsidRDefault="000158E6" w:rsidP="000158E6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8E6" w:rsidRPr="008D1194" w:rsidTr="00BE406E">
        <w:tc>
          <w:tcPr>
            <w:tcW w:w="2122" w:type="dxa"/>
            <w:shd w:val="clear" w:color="auto" w:fill="auto"/>
          </w:tcPr>
          <w:p w:rsidR="000158E6" w:rsidRPr="008D1194" w:rsidRDefault="000158E6" w:rsidP="000158E6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Современные методы диагностики и лечения, принципы профилактики и скрининга заболеваний органов дыхания на уровне ПМСП</w:t>
            </w:r>
          </w:p>
        </w:tc>
        <w:tc>
          <w:tcPr>
            <w:tcW w:w="4649" w:type="dxa"/>
            <w:shd w:val="clear" w:color="auto" w:fill="auto"/>
          </w:tcPr>
          <w:p w:rsidR="000158E6" w:rsidRPr="008D1194" w:rsidRDefault="00BE406E" w:rsidP="00BE406E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Рассматриваются вопросы организации оказания пульмонологической и кардиологической помощи в РК на уровне ПМСП, включающей диагностику, лечение, определение прогноза заболевания, экспертизу трудоспособности, профилактику и реабилитацию.</w:t>
            </w:r>
          </w:p>
        </w:tc>
        <w:tc>
          <w:tcPr>
            <w:tcW w:w="992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2126" w:type="dxa"/>
            <w:shd w:val="clear" w:color="auto" w:fill="auto"/>
          </w:tcPr>
          <w:p w:rsidR="000158E6" w:rsidRPr="008D1194" w:rsidRDefault="000158E6" w:rsidP="000158E6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0158E6" w:rsidRPr="008D1194" w:rsidRDefault="000158E6" w:rsidP="0001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8" w:rsidRPr="008D1194" w:rsidTr="005034EA">
        <w:tc>
          <w:tcPr>
            <w:tcW w:w="15127" w:type="dxa"/>
            <w:gridSpan w:val="13"/>
            <w:shd w:val="clear" w:color="auto" w:fill="auto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94">
              <w:rPr>
                <w:rFonts w:ascii="Times New Roman" w:hAnsi="Times New Roman"/>
                <w:b/>
                <w:sz w:val="24"/>
                <w:szCs w:val="24"/>
              </w:rPr>
              <w:t>Медико-биологическое направление</w:t>
            </w:r>
          </w:p>
        </w:tc>
      </w:tr>
      <w:tr w:rsidR="0067458C" w:rsidRPr="008D1194" w:rsidTr="005034EA">
        <w:tc>
          <w:tcPr>
            <w:tcW w:w="2122" w:type="dxa"/>
            <w:shd w:val="clear" w:color="auto" w:fill="auto"/>
          </w:tcPr>
          <w:p w:rsidR="0067458C" w:rsidRPr="008D1194" w:rsidRDefault="0067458C" w:rsidP="0067458C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Физиология центральной нервной системы при экспериментальном стрессе</w:t>
            </w:r>
          </w:p>
        </w:tc>
        <w:tc>
          <w:tcPr>
            <w:tcW w:w="4649" w:type="dxa"/>
            <w:shd w:val="clear" w:color="auto" w:fill="auto"/>
          </w:tcPr>
          <w:p w:rsidR="0067458C" w:rsidRPr="008D1194" w:rsidRDefault="0067458C" w:rsidP="0067458C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Цикл посвящен экспериментальному моделированию стрессовых состояний, изучению современной научной литературы по функционированию центральной нервной системы и ее изменениям в условиях стресса, а также исследованию результатов, полученных при моделировании стрессовых состояний</w:t>
            </w:r>
          </w:p>
        </w:tc>
        <w:tc>
          <w:tcPr>
            <w:tcW w:w="992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2126" w:type="dxa"/>
            <w:shd w:val="clear" w:color="auto" w:fill="auto"/>
          </w:tcPr>
          <w:p w:rsidR="0067458C" w:rsidRPr="008D1194" w:rsidRDefault="0067458C" w:rsidP="0067458C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8C" w:rsidRPr="008D1194" w:rsidTr="00D60683">
        <w:tc>
          <w:tcPr>
            <w:tcW w:w="2122" w:type="dxa"/>
            <w:shd w:val="clear" w:color="auto" w:fill="auto"/>
          </w:tcPr>
          <w:p w:rsidR="0067458C" w:rsidRPr="008D1194" w:rsidRDefault="0067458C" w:rsidP="0067458C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Физиология кроветворной системы при экспериментальном стрессе</w:t>
            </w:r>
          </w:p>
        </w:tc>
        <w:tc>
          <w:tcPr>
            <w:tcW w:w="4649" w:type="dxa"/>
            <w:shd w:val="clear" w:color="auto" w:fill="auto"/>
          </w:tcPr>
          <w:p w:rsidR="0067458C" w:rsidRPr="008D1194" w:rsidRDefault="0067458C" w:rsidP="0067458C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Рассматриваются передовые методы изучения изменений</w:t>
            </w:r>
            <w:r w:rsidRPr="008D119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8D1194">
              <w:rPr>
                <w:rFonts w:ascii="Times New Roman" w:hAnsi="Times New Roman"/>
                <w:sz w:val="24"/>
                <w:szCs w:val="24"/>
              </w:rPr>
              <w:t>гематологических показателей</w:t>
            </w:r>
            <w:r w:rsidRPr="008D119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8D119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при воздействии</w:t>
            </w:r>
            <w:r w:rsidRPr="008D119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194">
              <w:rPr>
                <w:rFonts w:ascii="Times New Roman" w:hAnsi="Times New Roman"/>
                <w:sz w:val="24"/>
                <w:szCs w:val="24"/>
              </w:rPr>
              <w:t>иммобилизационного</w:t>
            </w:r>
            <w:proofErr w:type="spellEnd"/>
            <w:r w:rsidRPr="008D1194">
              <w:rPr>
                <w:rFonts w:ascii="Times New Roman" w:hAnsi="Times New Roman"/>
                <w:sz w:val="24"/>
                <w:szCs w:val="24"/>
              </w:rPr>
              <w:t xml:space="preserve"> и болевого стресс-факторов</w:t>
            </w:r>
          </w:p>
        </w:tc>
        <w:tc>
          <w:tcPr>
            <w:tcW w:w="992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2126" w:type="dxa"/>
            <w:shd w:val="clear" w:color="auto" w:fill="auto"/>
          </w:tcPr>
          <w:p w:rsidR="0067458C" w:rsidRPr="008D1194" w:rsidRDefault="0067458C" w:rsidP="0067458C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8C" w:rsidRPr="008D1194" w:rsidTr="005034EA">
        <w:tc>
          <w:tcPr>
            <w:tcW w:w="2122" w:type="dxa"/>
            <w:shd w:val="clear" w:color="auto" w:fill="auto"/>
          </w:tcPr>
          <w:p w:rsidR="0067458C" w:rsidRPr="008D1194" w:rsidRDefault="0067458C" w:rsidP="0067458C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Генетические основы наследственной патологии</w:t>
            </w:r>
          </w:p>
        </w:tc>
        <w:tc>
          <w:tcPr>
            <w:tcW w:w="4649" w:type="dxa"/>
            <w:shd w:val="clear" w:color="auto" w:fill="auto"/>
          </w:tcPr>
          <w:p w:rsidR="0067458C" w:rsidRPr="008D1194" w:rsidRDefault="0067458C" w:rsidP="0067458C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Изучение генетических основ, принципов поведенческой неврологии, освоение методов социальной и медицинской </w:t>
            </w: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людей с заболеваниями аутистического спектра</w:t>
            </w:r>
          </w:p>
        </w:tc>
        <w:tc>
          <w:tcPr>
            <w:tcW w:w="992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2126" w:type="dxa"/>
            <w:shd w:val="clear" w:color="auto" w:fill="auto"/>
          </w:tcPr>
          <w:p w:rsidR="0067458C" w:rsidRPr="008D1194" w:rsidRDefault="0067458C" w:rsidP="0067458C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8C" w:rsidRPr="008D1194" w:rsidTr="00041707">
        <w:tc>
          <w:tcPr>
            <w:tcW w:w="2122" w:type="dxa"/>
            <w:shd w:val="clear" w:color="auto" w:fill="auto"/>
          </w:tcPr>
          <w:p w:rsidR="0067458C" w:rsidRPr="008D1194" w:rsidRDefault="0067458C" w:rsidP="0067458C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Основные вопросы патофизиологии при патологиях костно-суставного аппарата</w:t>
            </w:r>
          </w:p>
        </w:tc>
        <w:tc>
          <w:tcPr>
            <w:tcW w:w="4649" w:type="dxa"/>
            <w:shd w:val="clear" w:color="auto" w:fill="auto"/>
          </w:tcPr>
          <w:p w:rsidR="0067458C" w:rsidRPr="008D1194" w:rsidRDefault="0067458C" w:rsidP="0067458C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 xml:space="preserve">Эскалация знаний, навыков и умений ведения пациентов с различными видами патологии костно-суставного аппарата, изучение инновационных методов диагностики и современных подходов лечения, основанных на достижениях современной медицины </w:t>
            </w:r>
          </w:p>
        </w:tc>
        <w:tc>
          <w:tcPr>
            <w:tcW w:w="992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67458C" w:rsidRPr="008D1194" w:rsidRDefault="0067458C" w:rsidP="0067458C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8C" w:rsidRPr="008D1194" w:rsidTr="005034EA">
        <w:tc>
          <w:tcPr>
            <w:tcW w:w="2122" w:type="dxa"/>
            <w:shd w:val="clear" w:color="auto" w:fill="auto"/>
          </w:tcPr>
          <w:p w:rsidR="0067458C" w:rsidRPr="008D1194" w:rsidRDefault="0067458C" w:rsidP="0067458C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Поиски доказательств для решения проблем при различных заболеваниях</w:t>
            </w:r>
          </w:p>
        </w:tc>
        <w:tc>
          <w:tcPr>
            <w:tcW w:w="4649" w:type="dxa"/>
            <w:shd w:val="clear" w:color="auto" w:fill="auto"/>
          </w:tcPr>
          <w:p w:rsidR="0067458C" w:rsidRPr="008D1194" w:rsidRDefault="0067458C" w:rsidP="0067458C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Цикл нацелен на ознакомление магистранта с корректной методикой поиска и оценки медицинской информации, логическими этапами принятия решений в медицинской практике, что позволит интегрировать наилучшие научные данные с клиническим опытом врача и ценностями пациента, добросовестно, точно и осмысленно использовать лучшие результаты клинических исследований для выбора лечения конкретного больного.</w:t>
            </w:r>
          </w:p>
        </w:tc>
        <w:tc>
          <w:tcPr>
            <w:tcW w:w="992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67458C" w:rsidRPr="008D1194" w:rsidRDefault="0067458C" w:rsidP="0067458C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709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</w:pPr>
            <w:r w:rsidRPr="008D11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67458C" w:rsidRPr="008D1194" w:rsidRDefault="0067458C" w:rsidP="0067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8" w:rsidRPr="008D1194" w:rsidTr="002B77D3">
        <w:tc>
          <w:tcPr>
            <w:tcW w:w="2122" w:type="dxa"/>
          </w:tcPr>
          <w:p w:rsidR="00D433D8" w:rsidRPr="008D1194" w:rsidRDefault="00D433D8" w:rsidP="00D433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Исследовательская практика</w:t>
            </w:r>
          </w:p>
        </w:tc>
        <w:tc>
          <w:tcPr>
            <w:tcW w:w="4649" w:type="dxa"/>
          </w:tcPr>
          <w:p w:rsidR="00D433D8" w:rsidRPr="008D1194" w:rsidRDefault="00D433D8" w:rsidP="00D433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мировозрения  в этой области,овладение магистрантами основными приемами ведения науч-исследовательской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709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0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433D8" w:rsidRPr="008D1194" w:rsidTr="002B77D3">
        <w:tc>
          <w:tcPr>
            <w:tcW w:w="2122" w:type="dxa"/>
          </w:tcPr>
          <w:p w:rsidR="00D433D8" w:rsidRPr="008D1194" w:rsidRDefault="00D433D8" w:rsidP="00D433D8">
            <w:pPr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4649" w:type="dxa"/>
          </w:tcPr>
          <w:p w:rsidR="00D433D8" w:rsidRPr="008D1194" w:rsidRDefault="00D433D8" w:rsidP="00D433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94">
              <w:rPr>
                <w:rFonts w:ascii="Times New Roman" w:hAnsi="Times New Roman"/>
                <w:sz w:val="24"/>
                <w:szCs w:val="24"/>
                <w:lang w:val="kk-KZ"/>
              </w:rPr>
              <w:t>Обретение опыта, составять план научно-исследовательской работы, владеть методами анализа и определить задачи исследования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0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433D8" w:rsidRPr="008D1194" w:rsidTr="002B77D3">
        <w:tc>
          <w:tcPr>
            <w:tcW w:w="2122" w:type="dxa"/>
            <w:vAlign w:val="center"/>
          </w:tcPr>
          <w:p w:rsidR="00D433D8" w:rsidRPr="008D1194" w:rsidRDefault="00D433D8" w:rsidP="00D433D8">
            <w:pPr>
              <w:shd w:val="clear" w:color="auto" w:fill="FFFFFF" w:themeFill="background1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Итоговая аттестация (ИА)</w:t>
            </w:r>
          </w:p>
        </w:tc>
        <w:tc>
          <w:tcPr>
            <w:tcW w:w="4649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0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433D8" w:rsidRPr="00A25C8C" w:rsidTr="002B77D3">
        <w:tc>
          <w:tcPr>
            <w:tcW w:w="2122" w:type="dxa"/>
            <w:vAlign w:val="center"/>
          </w:tcPr>
          <w:p w:rsidR="00D433D8" w:rsidRPr="008D1194" w:rsidRDefault="00D433D8" w:rsidP="00D433D8">
            <w:pPr>
              <w:shd w:val="clear" w:color="auto" w:fill="FFFFFF" w:themeFill="background1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649" w:type="dxa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433D8" w:rsidRPr="008D1194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3D8" w:rsidRPr="00A25C8C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9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D433D8" w:rsidRPr="00A25C8C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A25C8C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A25C8C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A25C8C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A25C8C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A25C8C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433D8" w:rsidRPr="00A25C8C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0" w:type="dxa"/>
          </w:tcPr>
          <w:p w:rsidR="00D433D8" w:rsidRPr="00A25C8C" w:rsidRDefault="00D433D8" w:rsidP="00D433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17D8F" w:rsidRPr="00A25C8C" w:rsidRDefault="00817D8F" w:rsidP="00817D8F">
      <w:pPr>
        <w:rPr>
          <w:rFonts w:ascii="Times New Roman" w:hAnsi="Times New Roman"/>
          <w:sz w:val="24"/>
          <w:szCs w:val="24"/>
        </w:rPr>
      </w:pPr>
    </w:p>
    <w:p w:rsidR="009F61F9" w:rsidRPr="00A25C8C" w:rsidRDefault="009F61F9">
      <w:pPr>
        <w:rPr>
          <w:rFonts w:ascii="Times New Roman" w:hAnsi="Times New Roman"/>
          <w:sz w:val="24"/>
          <w:szCs w:val="24"/>
        </w:rPr>
      </w:pPr>
    </w:p>
    <w:sectPr w:rsidR="009F61F9" w:rsidRPr="00A25C8C" w:rsidSect="00F968A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C4"/>
    <w:multiLevelType w:val="hybridMultilevel"/>
    <w:tmpl w:val="07A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13AD"/>
    <w:multiLevelType w:val="hybridMultilevel"/>
    <w:tmpl w:val="786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2"/>
    <w:rsid w:val="000158E6"/>
    <w:rsid w:val="00041707"/>
    <w:rsid w:val="00077AF4"/>
    <w:rsid w:val="001A2D25"/>
    <w:rsid w:val="002161BD"/>
    <w:rsid w:val="002321E1"/>
    <w:rsid w:val="00243E70"/>
    <w:rsid w:val="00254CFE"/>
    <w:rsid w:val="00260CD7"/>
    <w:rsid w:val="002B77D3"/>
    <w:rsid w:val="002C1314"/>
    <w:rsid w:val="002D5E2E"/>
    <w:rsid w:val="00307D2A"/>
    <w:rsid w:val="00501798"/>
    <w:rsid w:val="005034EA"/>
    <w:rsid w:val="005C7F52"/>
    <w:rsid w:val="0067458C"/>
    <w:rsid w:val="006A7CFA"/>
    <w:rsid w:val="00707B77"/>
    <w:rsid w:val="007E0335"/>
    <w:rsid w:val="008071CF"/>
    <w:rsid w:val="00817D8F"/>
    <w:rsid w:val="00830A43"/>
    <w:rsid w:val="008927F1"/>
    <w:rsid w:val="0089316F"/>
    <w:rsid w:val="008D1194"/>
    <w:rsid w:val="008F039A"/>
    <w:rsid w:val="008F1F7D"/>
    <w:rsid w:val="0091343E"/>
    <w:rsid w:val="0092518C"/>
    <w:rsid w:val="009321EF"/>
    <w:rsid w:val="009E51BD"/>
    <w:rsid w:val="009F61F9"/>
    <w:rsid w:val="00A07D9D"/>
    <w:rsid w:val="00A25C8C"/>
    <w:rsid w:val="00A43C5E"/>
    <w:rsid w:val="00AA449E"/>
    <w:rsid w:val="00B84254"/>
    <w:rsid w:val="00BC7AEC"/>
    <w:rsid w:val="00BE21DA"/>
    <w:rsid w:val="00BE406E"/>
    <w:rsid w:val="00BF7133"/>
    <w:rsid w:val="00C150B2"/>
    <w:rsid w:val="00C614A5"/>
    <w:rsid w:val="00CB6B3C"/>
    <w:rsid w:val="00CC60D0"/>
    <w:rsid w:val="00D35659"/>
    <w:rsid w:val="00D433D8"/>
    <w:rsid w:val="00D50642"/>
    <w:rsid w:val="00D60683"/>
    <w:rsid w:val="00DA2203"/>
    <w:rsid w:val="00DC0533"/>
    <w:rsid w:val="00DD786F"/>
    <w:rsid w:val="00E22228"/>
    <w:rsid w:val="00E61FE4"/>
    <w:rsid w:val="00EA7F6E"/>
    <w:rsid w:val="00ED476A"/>
    <w:rsid w:val="00F968AF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8029-2613-4AAC-A448-15BB180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8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D8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EA7F6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EA7F6E"/>
    <w:rPr>
      <w:rFonts w:ascii="Calibri" w:eastAsia="Calibri" w:hAnsi="Calibri" w:cs="Times New Roman"/>
    </w:rPr>
  </w:style>
  <w:style w:type="character" w:customStyle="1" w:styleId="hl">
    <w:name w:val="hl"/>
    <w:basedOn w:val="a0"/>
    <w:rsid w:val="009321EF"/>
  </w:style>
  <w:style w:type="character" w:styleId="a6">
    <w:name w:val="Emphasis"/>
    <w:basedOn w:val="a0"/>
    <w:uiPriority w:val="20"/>
    <w:qFormat/>
    <w:rsid w:val="00041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10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Алчимбаева</dc:creator>
  <cp:keywords/>
  <dc:description/>
  <cp:lastModifiedBy>Макпал Алчимбаева</cp:lastModifiedBy>
  <cp:revision>12</cp:revision>
  <dcterms:created xsi:type="dcterms:W3CDTF">2020-04-22T10:27:00Z</dcterms:created>
  <dcterms:modified xsi:type="dcterms:W3CDTF">2020-05-25T12:00:00Z</dcterms:modified>
</cp:coreProperties>
</file>