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67" w:rsidRDefault="0003343A">
      <w:bookmarkStart w:id="0" w:name="_GoBack"/>
      <w:bookmarkEnd w:id="0"/>
      <w:r>
        <w:t xml:space="preserve">№ 1386 </w:t>
      </w:r>
      <w:proofErr w:type="spellStart"/>
      <w:r>
        <w:t>от</w:t>
      </w:r>
      <w:proofErr w:type="spellEnd"/>
      <w:r>
        <w:t xml:space="preserve"> 14.11.2022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6D110200, 8D10103 -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мамандықтары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мүшелерін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туралы</w:t>
      </w:r>
      <w:proofErr w:type="spellEnd"/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ережені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 2011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наурыздағы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№126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бұйрығының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5,9-тармақтарына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316467" w:rsidRDefault="000334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 w:after="0" w:line="253" w:lineRule="atLeast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8D10103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PhD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докторанттар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Дуйсекова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Самал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Байболатовнаның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Совершенствован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предотвращению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улучшению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безработной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молодежи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уровне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ПМСП»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тақырыбына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Кульбаева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Шынар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Камбаровнаның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Научное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концептуальных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подходов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дистанционной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коммуникации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персонала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пацие</w:t>
      </w:r>
      <w:r>
        <w:rPr>
          <w:rFonts w:ascii="Times New Roman" w:eastAsia="Times New Roman" w:hAnsi="Times New Roman" w:cs="Times New Roman"/>
          <w:color w:val="000000"/>
          <w:sz w:val="28"/>
        </w:rPr>
        <w:t>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хроническими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сердечно-сосудистыми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заболеваниями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уровне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ПМСП»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тақырыбына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6D110200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Алдабергенова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Гульден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Амеркешовнаның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Комплексная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условий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врачей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терапев</w:t>
      </w:r>
      <w:r>
        <w:rPr>
          <w:rFonts w:ascii="Times New Roman" w:eastAsia="Times New Roman" w:hAnsi="Times New Roman" w:cs="Times New Roman"/>
          <w:color w:val="000000"/>
          <w:sz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условиях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поликлиники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тақырыбына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(PhD)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дәрежесін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6D110200, 8D10103 -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мамандықтары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уақытша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мүшелері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</w:rPr>
        <w:t>алымдар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6"/>
          <w:tab w:val="left" w:pos="851"/>
          <w:tab w:val="left" w:pos="993"/>
        </w:tabs>
        <w:spacing w:line="25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Ермуханова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Людмила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Сергеевна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м.ғ.к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қауымдастырылған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Оспанов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журналының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Citation Reports (Journal Citation Reports)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квартилға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индексі-4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Ақтөбе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Булегенов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Толқын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Алпысбаевич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м.ғ.д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госпиталдық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хирургиясы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</w:t>
      </w:r>
      <w:r>
        <w:rPr>
          <w:rFonts w:ascii="Times New Roman" w:eastAsia="Times New Roman" w:hAnsi="Times New Roman" w:cs="Times New Roman"/>
          <w:color w:val="000000"/>
          <w:sz w:val="28"/>
        </w:rPr>
        <w:t>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журналының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Citation Reports (Journal Citation Reports)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квартилға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- 2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3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Смаилова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Дариға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Сансызбаевна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PhD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эпидемиология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дәлелді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биостатистика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журналының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Citation Reports (Journal Citation Re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ports)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квартилға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- 2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113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Абикулова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Ақмарал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Қанатовна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PhD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С.Ж.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Асфендияров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саясаты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менеджменті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журналының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Citation Reports (Journal Citation Reports)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квартилға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-3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34"/>
        </w:tabs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Қалматаева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Жанна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Амант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аевна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м.ғ.д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Әл-Фараби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факультетінің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Clarivate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Analytics)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журналының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Citation Reports (Journal Citation Reports)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квартилға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енг</w:t>
      </w:r>
      <w:r>
        <w:rPr>
          <w:rFonts w:ascii="Times New Roman" w:eastAsia="Times New Roman" w:hAnsi="Times New Roman" w:cs="Times New Roman"/>
          <w:color w:val="000000"/>
          <w:sz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- 6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қ.).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34"/>
        </w:tabs>
        <w:spacing w:after="0" w:line="253" w:lineRule="atLeast"/>
        <w:ind w:firstLine="235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орындалуын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бақылаймын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316467" w:rsidRDefault="000334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9"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Негіздеме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10.10.2022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6D110200, 8D10103 -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мамандықтары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хаттамасынан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үзінді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16467" w:rsidRDefault="00316467">
      <w:pPr>
        <w:rPr>
          <w:rFonts w:ascii="Times New Roman" w:eastAsia="Times New Roman" w:hAnsi="Times New Roman" w:cs="Times New Roman"/>
          <w:b/>
          <w:sz w:val="28"/>
        </w:rPr>
      </w:pPr>
    </w:p>
    <w:p w:rsidR="00316467" w:rsidRDefault="000334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стратегиялық</w:t>
      </w:r>
      <w:proofErr w:type="spellEnd"/>
    </w:p>
    <w:p w:rsidR="00316467" w:rsidRDefault="000334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проректор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В.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</w:t>
      </w:r>
      <w:r>
        <w:rPr>
          <w:rFonts w:ascii="Times New Roman" w:eastAsia="Times New Roman" w:hAnsi="Times New Roman" w:cs="Times New Roman"/>
          <w:b/>
          <w:sz w:val="28"/>
        </w:rPr>
        <w:t>йков</w:t>
      </w:r>
      <w:proofErr w:type="spellEnd"/>
    </w:p>
    <w:p w:rsidR="00316467" w:rsidRDefault="00316467">
      <w:pPr>
        <w:rPr>
          <w:rFonts w:ascii="Times New Roman" w:eastAsia="Times New Roman" w:hAnsi="Times New Roman" w:cs="Times New Roman"/>
          <w:b/>
          <w:sz w:val="28"/>
        </w:rPr>
      </w:pPr>
    </w:p>
    <w:p w:rsidR="00316467" w:rsidRDefault="0003343A">
      <w:proofErr w:type="spellStart"/>
      <w:r>
        <w:t>Издатель</w:t>
      </w:r>
      <w:proofErr w:type="spellEnd"/>
      <w:r>
        <w:t xml:space="preserve"> ЭЦП - ҰЛТТЫҚ КУӘЛАНДЫРУШЫ ОРТАЛЫҚ (GOST), КОЙКОВ ВИТАЛИЙ, НЕКОММЕРЧЕСКОЕ АКЦИОНЕРНОЕ ОБЩЕСТВО "МЕДИЦИНСКИЙ УНИВЕРСИТЕТ АСТАНА", BIN080940008218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787400" cy="7874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62.0pt;height:62.0pt;" stroked="false">
                <v:path textboxrect="0,0,0,0"/>
                <v:imagedata r:id="rId13" o:title=""/>
              </v:shape>
            </w:pict>
          </mc:Fallback>
        </mc:AlternateContent>
      </w:r>
    </w:p>
    <w:p w:rsidR="00316467" w:rsidRDefault="00316467"/>
    <w:tbl>
      <w:tblPr>
        <w:tblStyle w:val="SalemTable"/>
        <w:tblW w:w="0" w:type="auto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16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Время</w:t>
            </w:r>
            <w:proofErr w:type="spellEnd"/>
            <w:r>
              <w:t xml:space="preserve"> и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подписания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Данные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ЭЦП</w:t>
            </w:r>
          </w:p>
        </w:tc>
      </w:tr>
      <w:tr w:rsidR="00316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Орынбасарова</w:t>
            </w:r>
            <w:proofErr w:type="spellEnd"/>
            <w:r>
              <w:t xml:space="preserve"> Б.А.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Согласовано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r>
              <w:t>14.11.2022 16:18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r>
              <w:t>ОРЫНБАСАРОВА БАКТЫНУР АДИЛОВНА</w:t>
            </w:r>
          </w:p>
        </w:tc>
      </w:tr>
      <w:tr w:rsidR="00316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Еламанова</w:t>
            </w:r>
            <w:proofErr w:type="spellEnd"/>
            <w:r>
              <w:t xml:space="preserve"> К.О.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Согласовано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r>
              <w:t>14.11.2022 16:42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r>
              <w:t>ЕЛАМАНОВА КОНЫР ОРЫМБЕКОВНА</w:t>
            </w:r>
          </w:p>
        </w:tc>
      </w:tr>
      <w:tr w:rsidR="00316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Койков</w:t>
            </w:r>
            <w:proofErr w:type="spellEnd"/>
            <w: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proofErr w:type="spellStart"/>
            <w:r>
              <w:t>Подписано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r>
              <w:t>14.11.2022 17:26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467" w:rsidRDefault="0003343A">
            <w:r>
              <w:t>ҰЛТТЫҚ</w:t>
            </w:r>
            <w:r>
              <w:t xml:space="preserve"> КУӘЛАНДЫРУШЫ </w:t>
            </w:r>
            <w:r>
              <w:lastRenderedPageBreak/>
              <w:t>ОРТАЛЫҚ (GOST), КОЙКОВ ВИТАЛИЙ, НЕКОММЕРЧЕСКОЕ АКЦИОНЕРНОЕ ОБЩ</w:t>
            </w:r>
            <w:r>
              <w:t>ЕСТВО "МЕДИЦИНСКИЙ УНИВЕРСИТЕТ АСТАНА"</w:t>
            </w:r>
          </w:p>
        </w:tc>
      </w:tr>
    </w:tbl>
    <w:p w:rsidR="00316467" w:rsidRDefault="00316467"/>
    <w:sectPr w:rsidR="0031646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063" w:right="850" w:bottom="1134" w:left="85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3A" w:rsidRDefault="0003343A">
      <w:pPr>
        <w:spacing w:after="0" w:line="240" w:lineRule="auto"/>
      </w:pPr>
      <w:r>
        <w:separator/>
      </w:r>
    </w:p>
  </w:endnote>
  <w:endnote w:type="continuationSeparator" w:id="0">
    <w:p w:rsidR="0003343A" w:rsidRDefault="000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67" w:rsidRDefault="003164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67" w:rsidRDefault="003164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3A" w:rsidRDefault="0003343A">
      <w:pPr>
        <w:spacing w:after="0" w:line="240" w:lineRule="auto"/>
      </w:pPr>
      <w:r>
        <w:separator/>
      </w:r>
    </w:p>
  </w:footnote>
  <w:footnote w:type="continuationSeparator" w:id="0">
    <w:p w:rsidR="0003343A" w:rsidRDefault="0003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67" w:rsidRDefault="003164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67" w:rsidRDefault="0003343A">
    <w:pPr>
      <w:ind w:left="-142"/>
    </w:pPr>
    <w:r>
      <w:rPr>
        <w:noProof/>
        <w:lang w:val="ru-RU" w:eastAsia="ru-RU"/>
      </w:rPr>
      <mc:AlternateContent>
        <mc:Choice Requires="wpg">
          <w:drawing>
            <wp:inline distT="0" distB="0" distL="0" distR="0">
              <wp:extent cx="6963863" cy="226895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963863" cy="22689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48.3pt;height:178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DF7"/>
    <w:multiLevelType w:val="hybridMultilevel"/>
    <w:tmpl w:val="7F765736"/>
    <w:lvl w:ilvl="0" w:tplc="2C1210EC">
      <w:start w:val="1"/>
      <w:numFmt w:val="decimal"/>
      <w:lvlText w:val="%1."/>
      <w:lvlJc w:val="left"/>
      <w:pPr>
        <w:ind w:left="720" w:hanging="360"/>
      </w:pPr>
    </w:lvl>
    <w:lvl w:ilvl="1" w:tplc="98768F14">
      <w:start w:val="1"/>
      <w:numFmt w:val="lowerLetter"/>
      <w:lvlText w:val="%2."/>
      <w:lvlJc w:val="left"/>
      <w:pPr>
        <w:ind w:left="1440" w:hanging="360"/>
      </w:pPr>
    </w:lvl>
    <w:lvl w:ilvl="2" w:tplc="91306A3E">
      <w:start w:val="1"/>
      <w:numFmt w:val="lowerRoman"/>
      <w:lvlText w:val="%3."/>
      <w:lvlJc w:val="right"/>
      <w:pPr>
        <w:ind w:left="2160" w:hanging="180"/>
      </w:pPr>
    </w:lvl>
    <w:lvl w:ilvl="3" w:tplc="6C8C9808">
      <w:start w:val="1"/>
      <w:numFmt w:val="decimal"/>
      <w:lvlText w:val="%4."/>
      <w:lvlJc w:val="left"/>
      <w:pPr>
        <w:ind w:left="2880" w:hanging="360"/>
      </w:pPr>
    </w:lvl>
    <w:lvl w:ilvl="4" w:tplc="D89437F8">
      <w:start w:val="1"/>
      <w:numFmt w:val="lowerLetter"/>
      <w:lvlText w:val="%5."/>
      <w:lvlJc w:val="left"/>
      <w:pPr>
        <w:ind w:left="3600" w:hanging="360"/>
      </w:pPr>
    </w:lvl>
    <w:lvl w:ilvl="5" w:tplc="7ABE58F0">
      <w:start w:val="1"/>
      <w:numFmt w:val="lowerRoman"/>
      <w:lvlText w:val="%6."/>
      <w:lvlJc w:val="right"/>
      <w:pPr>
        <w:ind w:left="4320" w:hanging="180"/>
      </w:pPr>
    </w:lvl>
    <w:lvl w:ilvl="6" w:tplc="50E49CA0">
      <w:start w:val="1"/>
      <w:numFmt w:val="decimal"/>
      <w:lvlText w:val="%7."/>
      <w:lvlJc w:val="left"/>
      <w:pPr>
        <w:ind w:left="5040" w:hanging="360"/>
      </w:pPr>
    </w:lvl>
    <w:lvl w:ilvl="7" w:tplc="309C5AFC">
      <w:start w:val="1"/>
      <w:numFmt w:val="lowerLetter"/>
      <w:lvlText w:val="%8."/>
      <w:lvlJc w:val="left"/>
      <w:pPr>
        <w:ind w:left="5760" w:hanging="360"/>
      </w:pPr>
    </w:lvl>
    <w:lvl w:ilvl="8" w:tplc="0B02AF0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0C8"/>
    <w:multiLevelType w:val="hybridMultilevel"/>
    <w:tmpl w:val="3EDA9FAC"/>
    <w:lvl w:ilvl="0" w:tplc="F3E40A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3CA7A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3AC16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CEBE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82AA9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87220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02FC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B30A8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57081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7"/>
    <w:rsid w:val="0003343A"/>
    <w:rsid w:val="00316467"/>
    <w:rsid w:val="00E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SalemTable">
    <w:name w:val="Salem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EF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SalemTable">
    <w:name w:val="Salem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EF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2023-11-21T03:43:00Z</dcterms:created>
  <dcterms:modified xsi:type="dcterms:W3CDTF">2023-11-21T03:43:00Z</dcterms:modified>
</cp:coreProperties>
</file>