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№ 2046/16-01-09 от 27.03.2025</w:t>
      </w:r>
      <w:r/>
    </w:p>
    <w:p>
      <w:pPr>
        <w:ind w:left="4536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НАО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Медицинский университет Астана</w:t>
      </w:r>
      <w:r>
        <w:rPr>
          <w:b/>
          <w:sz w:val="28"/>
          <w:szCs w:val="28"/>
        </w:rPr>
        <w:t xml:space="preserve">»</w:t>
      </w:r>
      <w:r/>
    </w:p>
    <w:p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СПРАВКА</w:t>
      </w:r>
      <w:r/>
    </w:p>
    <w:p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АО </w:t>
      </w:r>
      <w:r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>
        <w:rPr>
          <w:sz w:val="28"/>
          <w:szCs w:val="28"/>
          <w:lang w:val="kk-KZ"/>
        </w:rPr>
        <w:t xml:space="preserve">диссертации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Крылдаковой</w:t>
      </w:r>
      <w:r>
        <w:rPr>
          <w:sz w:val="28"/>
          <w:szCs w:val="28"/>
        </w:rPr>
        <w:t xml:space="preserve"> Дины </w:t>
      </w:r>
      <w:r>
        <w:rPr>
          <w:sz w:val="28"/>
          <w:szCs w:val="28"/>
        </w:rPr>
        <w:t xml:space="preserve">Маликовны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 тему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«</w:t>
      </w:r>
      <w:r>
        <w:rPr>
          <w:color w:val="000000"/>
          <w:sz w:val="28"/>
          <w:szCs w:val="28"/>
        </w:rPr>
        <w:t xml:space="preserve">Оптимизация консервативного лечения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 с хроническим </w:t>
      </w:r>
      <w:r>
        <w:rPr>
          <w:color w:val="000000"/>
          <w:sz w:val="28"/>
          <w:szCs w:val="28"/>
        </w:rPr>
        <w:t xml:space="preserve">колостазом</w:t>
      </w:r>
      <w:r>
        <w:rPr>
          <w:sz w:val="28"/>
          <w:szCs w:val="28"/>
          <w:lang w:val="kk-KZ"/>
        </w:rPr>
        <w:t xml:space="preserve"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 фондом </w:t>
      </w:r>
      <w:r>
        <w:rPr>
          <w:sz w:val="28"/>
          <w:szCs w:val="28"/>
          <w:lang w:val="kk-KZ"/>
        </w:rPr>
        <w:t xml:space="preserve">АО «НЦГНТЭ»</w:t>
      </w:r>
      <w:r>
        <w:rPr>
          <w:sz w:val="28"/>
          <w:szCs w:val="28"/>
          <w:lang w:val="kk-KZ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</w:t>
      </w:r>
      <w:r>
        <w:rPr>
          <w:sz w:val="28"/>
          <w:szCs w:val="28"/>
          <w:lang w:val="kk-KZ"/>
        </w:rPr>
        <w:t xml:space="preserve">совпадений с фондом АО «</w:t>
      </w:r>
      <w:r>
        <w:rPr>
          <w:sz w:val="28"/>
          <w:szCs w:val="28"/>
        </w:rPr>
        <w:t xml:space="preserve">НЦГНТЭ</w:t>
      </w:r>
      <w:r>
        <w:rPr>
          <w:sz w:val="28"/>
          <w:szCs w:val="28"/>
          <w:lang w:val="kk-KZ"/>
        </w:rPr>
        <w:t xml:space="preserve">» не обнаружено.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получены </w:t>
      </w:r>
      <w:r>
        <w:rPr>
          <w:sz w:val="28"/>
          <w:szCs w:val="28"/>
          <w:lang w:val="kk-KZ"/>
        </w:rPr>
        <w:t xml:space="preserve">с использованием системы </w:t>
      </w:r>
      <w:r>
        <w:rPr>
          <w:sz w:val="28"/>
          <w:szCs w:val="28"/>
        </w:rPr>
        <w:t xml:space="preserve">«Антиплагиат» АО «НЦГНТЭ»</w:t>
      </w:r>
      <w:r>
        <w:rPr>
          <w:sz w:val="28"/>
          <w:szCs w:val="28"/>
          <w:lang w:val="kk-KZ"/>
        </w:rPr>
        <w:t xml:space="preserve">.</w:t>
      </w:r>
      <w:r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tbl>
      <w:tblPr>
        <w:tblStyle w:val="783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>
        <w:trPr/>
        <w:tc>
          <w:tcPr>
            <w:tcW w:w="6804" w:type="dxa"/>
            <w:textDirection w:val="lrTb"/>
            <w:noWrap w:val="false"/>
          </w:tcPr>
          <w:p>
            <w:pPr>
              <w:ind w:right="1163" w:firstLine="462"/>
              <w:tabs>
                <w:tab w:val="left" w:pos="3402" w:leader="none"/>
                <w:tab w:val="left" w:pos="7230" w:leader="none"/>
              </w:tabs>
              <w:rPr>
                <w:b/>
                <w:sz w:val="28"/>
                <w:szCs w:val="28"/>
                <w:lang w:val="kk-KZ"/>
              </w:rPr>
              <w:outlineLvl w:val="0"/>
            </w:pPr>
            <w:r>
              <w:rPr>
                <w:b/>
                <w:sz w:val="28"/>
                <w:szCs w:val="28"/>
                <w:lang w:val="kk-KZ"/>
              </w:rPr>
            </w:r>
            <w:r/>
          </w:p>
          <w:p>
            <w:pPr>
              <w:ind w:right="1163" w:firstLine="462"/>
              <w:tabs>
                <w:tab w:val="left" w:pos="3402" w:leader="none"/>
                <w:tab w:val="left" w:pos="7230" w:leader="none"/>
              </w:tabs>
              <w:rPr>
                <w:b/>
                <w:sz w:val="28"/>
                <w:szCs w:val="28"/>
                <w:lang w:val="en-US"/>
              </w:rPr>
              <w:outlineLvl w:val="0"/>
            </w:pPr>
            <w:r>
              <w:rPr>
                <w:b/>
                <w:sz w:val="28"/>
                <w:szCs w:val="28"/>
                <w:lang w:val="kk-KZ"/>
              </w:rPr>
              <w:t xml:space="preserve">Заместитель</w:t>
            </w:r>
            <w:r>
              <w:rPr>
                <w:b/>
                <w:sz w:val="28"/>
                <w:szCs w:val="28"/>
              </w:rPr>
              <w:t xml:space="preserve"> Председателя Правления</w:t>
            </w:r>
            <w:r/>
          </w:p>
        </w:tc>
        <w:tc>
          <w:tcPr>
            <w:tcW w:w="3227" w:type="dxa"/>
            <w:textDirection w:val="lrTb"/>
            <w:noWrap w:val="false"/>
          </w:tcPr>
          <w:p>
            <w:pPr>
              <w:ind w:left="745" w:right="291"/>
              <w:jc w:val="center"/>
              <w:tabs>
                <w:tab w:val="left" w:pos="7230" w:leader="none"/>
              </w:tabs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ind w:left="745" w:right="291"/>
              <w:jc w:val="center"/>
              <w:tabs>
                <w:tab w:val="left" w:pos="7230" w:leader="none"/>
              </w:tabs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  <w:t xml:space="preserve">С. Азам</w:t>
            </w:r>
            <w:r>
              <w:rPr>
                <w:b/>
                <w:sz w:val="28"/>
                <w:szCs w:val="28"/>
              </w:rPr>
              <w:t xml:space="preserve">баев</w:t>
            </w:r>
            <w:r/>
          </w:p>
        </w:tc>
      </w:tr>
    </w:tbl>
    <w:p>
      <w:pPr>
        <w:spacing w:line="276" w:lineRule="auto"/>
        <w:rPr>
          <w:b/>
          <w:sz w:val="28"/>
          <w:szCs w:val="28"/>
          <w:lang w:val="kk-KZ"/>
        </w:rPr>
        <w:outlineLvl w:val="0"/>
      </w:pPr>
      <w:r>
        <w:rPr>
          <w:b/>
          <w:sz w:val="28"/>
          <w:szCs w:val="28"/>
          <w:lang w:val="kk-KZ"/>
        </w:rPr>
      </w:r>
      <w:r/>
    </w:p>
    <w:p>
      <w:pPr>
        <w:rPr>
          <w:i/>
          <w:lang w:val="kk-KZ"/>
        </w:rPr>
      </w:pPr>
      <w:r>
        <w:rPr>
          <w:i/>
        </w:rPr>
        <w:t xml:space="preserve">Исп.</w:t>
      </w:r>
      <w:r>
        <w:rPr>
          <w:i/>
        </w:rPr>
        <w:t xml:space="preserve">:</w:t>
      </w:r>
      <w:r>
        <w:rPr>
          <w:i/>
        </w:rPr>
        <w:t xml:space="preserve"> </w:t>
      </w:r>
      <w:r>
        <w:rPr>
          <w:i/>
          <w:lang w:val="kk-KZ"/>
        </w:rPr>
        <w:t xml:space="preserve"> </w:t>
      </w:r>
      <w:r>
        <w:rPr>
          <w:i/>
          <w:lang w:val="kk-KZ"/>
        </w:rPr>
        <w:t xml:space="preserve"> Рамазанова Ж.К.</w:t>
      </w:r>
      <w:r>
        <w:rPr>
          <w:i/>
          <w:lang w:val="kk-KZ"/>
        </w:rPr>
        <w:t xml:space="preserve">.</w:t>
      </w:r>
      <w:r/>
    </w:p>
    <w:p>
      <w:pPr>
        <w:spacing w:line="276" w:lineRule="auto"/>
        <w:rPr>
          <w:lang w:val="kk-KZ"/>
        </w:rPr>
        <w:outlineLvl w:val="0"/>
      </w:pPr>
      <w:r>
        <w:rPr>
          <w:i/>
          <w:szCs w:val="20"/>
          <w:lang w:val="kk-KZ"/>
        </w:rPr>
        <w:t xml:space="preserve">Тел.</w:t>
      </w:r>
      <w:r>
        <w:rPr>
          <w:i/>
          <w:szCs w:val="20"/>
          <w:lang w:val="kk-KZ"/>
        </w:rPr>
        <w:t xml:space="preserve">:</w:t>
      </w:r>
      <w:r>
        <w:rPr>
          <w:i/>
        </w:rPr>
        <w:t xml:space="preserve"> </w:t>
      </w:r>
      <w:r>
        <w:rPr>
          <w:i/>
        </w:rPr>
        <w:t xml:space="preserve">344-11-10 </w:t>
      </w:r>
      <w:r>
        <w:rPr>
          <w:i/>
        </w:rPr>
        <w:t xml:space="preserve">(4</w:t>
      </w:r>
      <w:r>
        <w:rPr>
          <w:i/>
          <w:lang w:val="kk-KZ"/>
        </w:rPr>
        <w:t xml:space="preserve">09</w:t>
      </w:r>
      <w:r>
        <w:rPr>
          <w:i/>
        </w:rPr>
        <w:t xml:space="preserve">)</w:t>
      </w:r>
      <w:bookmarkStart w:id="0" w:name="_GoBack"/>
      <w:r/>
      <w:bookmarkEnd w:id="0"/>
      <w:r/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lang w:eastAsia="ru-RU"/>
        </w:rPr>
        <w:t xml:space="preserve">Согласовано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26.03.2025 14:07 Говоров Алексей Николаевич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26.03.2025 15:54 Акимбекова Алия Балтабековна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26.03.2025 16:40 Елеукенова Камарсулу Агимедуллиевна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26.03.2025 16:46 Мамытбаева Шолпанай Галкиевна</w:t>
      </w:r>
      <w:r/>
    </w:p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27.03.2025 09:42 Раимханова Арайлым Дюйсеновна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lang w:eastAsia="ru-RU"/>
        </w:rPr>
        <w:t xml:space="preserve">Подписано</w:t>
      </w:r>
      <w:r/>
    </w:p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27.03.2025 10:21 Азамбаев Серік Болатұлы</w:t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9539" cy="1399539"/>
                <wp:effectExtent l="0" t="0" r="3175" b="8255"/>
                <wp:docPr id="2" name="Рисунок 1" descr="test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399539" cy="1399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0.2pt;height:110.2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r>
        <w:br w:type="page" w:clear="all"/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Данный электронный документ DOC ID KZSLSG82025100235460D0ABAC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Для проверки электронного документа перейдите по ссылке:</w:t>
      </w:r>
      <w:hyperlink r:id="rId16" w:tooltip="https://documentolog.com/?verify=KZSLSG82025100235460D0ABAC" w:history="1">
        <w:r>
          <w:rPr>
            <w:rStyle w:val="791"/>
            <w:rFonts w:ascii="Times New Roman" w:hAnsi="Times New Roman" w:cs="Times New Roman" w:eastAsia="Times New Roman"/>
            <w:sz w:val="24"/>
          </w:rPr>
          <w:t xml:space="preserve">https://documentolog.com/?verify=KZSLSG82025100235460D0ABAC </w:t>
        </w:r>
      </w:hyperlink>
      <w:r/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Тип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Исходящий документ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Номер и дата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№ 2046/16-01-09 от 27.03.2025 г.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Организация/отправитель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АО "НАЦИОНАЛЬНЫЙ ЦЕНТР ГОСУДАРСТВЕННОЙ НАУЧНО-ТЕХНИЧЕСКОЙ ЭКСПЕРТИЗЫ"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Получатель (-и)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080940008218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"НЕКОММЕРЧЕСКОЕ АКЦИОНЕРНОЕ ОБЩЕСТВО "МЕДИЦИНСКИЙ УНИВЕРСИТЕТ АСТАНА""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Электронные цифровые подписи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3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Говоров Алексей Николаевич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26.03.2025 14:07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4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Акимбекова Алия Балтабековна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26.03.2025 15:54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5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Елеукенова Камарсулу Агимедуллиевна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26.03.2025 16:40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6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Мамытбаева Шолпанай Галкиевна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26.03.2025 16:46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7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Раимханова Арайлым Дюйсеновна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27.03.2025 09:42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8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Акционерное общество "Национальный центр государственной научно-технической экспертизы"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Подписано:  АЗАМБАЕВ СЕРІК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MIIWUQYJ...C49W3TvA=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НУЦ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27.03.2025 10:21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9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Акционерное общество "Национальный центр государственной научно-технической экспертизы"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ЭЦП канцелярии:  АБДИРАИМОВА ЖАНАР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MIIWpwYJ...4yOC1cg==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НУЦ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27.03.2025 11:42</w:t>
            </w:r>
            <w:r/>
          </w:p>
        </w:tc>
      </w:tr>
    </w:tbl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W w:w="9067" w:type="dxa"/>
        <w:shd w:val="solid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rPr/>
        <w:tc>
          <w:tcPr>
            <w:shd w:val="solid" w:color="auto" w:fill="auto"/>
            <w:tcMar>
              <w:left w:w="70" w:type="dxa"/>
              <w:top w:w="70" w:type="dxa"/>
              <w:right w:w="70" w:type="dxa"/>
              <w:bottom w:w="70" w:type="dxa"/>
            </w:tcMar>
            <w:vAlign w:val="top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9539" cy="1399539"/>
                      <wp:effectExtent l="0" t="0" r="3175" b="8255"/>
                      <wp:docPr id="10" name="Рисунок 1" descr="test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est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9539" cy="1399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110.2pt;height:110.2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shd w:val="solid" w:color="auto" w:fill="auto"/>
            <w:tcMar>
              <w:left w:w="70" w:type="dxa"/>
              <w:top w:w="70" w:type="dxa"/>
              <w:right w:w="70" w:type="dxa"/>
              <w:bottom w:w="70" w:type="dxa"/>
            </w:tcMar>
            <w:vAlign w:val="top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Данный документ согласно пункту 1 ста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  <w:r/>
          </w:p>
        </w:tc>
      </w:tr>
    </w:tbl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20" w:right="849" w:bottom="567" w:left="993" w:header="45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 2">
    <w:panose1 w:val="05040102010807070707"/>
  </w:font>
  <w:font w:name="Segoe Condensed">
    <w:panose1 w:val="020B05090000000000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3"/>
      <w:tblW w:w="10065" w:type="dxa"/>
      <w:tblInd w:w="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>
      <w:trPr/>
      <w:tc>
        <w:tcPr>
          <w:tcW w:w="4253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  <w:lang w:val="en-US"/>
            </w:rPr>
          </w:pPr>
          <w:r>
            <w:rPr>
              <w:color w:val="002060"/>
              <w:sz w:val="19"/>
              <w:szCs w:val="19"/>
              <w:lang w:val="en-US"/>
            </w:rPr>
          </w:r>
          <w:r/>
        </w:p>
      </w:tc>
      <w:tc>
        <w:tcPr>
          <w:tcW w:w="1559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</w:rPr>
          </w:pPr>
          <w:r>
            <w:rPr>
              <w:color w:val="002060"/>
              <w:sz w:val="19"/>
              <w:szCs w:val="19"/>
            </w:rPr>
          </w:r>
          <w:r/>
        </w:p>
      </w:tc>
      <w:tc>
        <w:tcPr>
          <w:tcW w:w="4253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  <w:lang w:val="en-US"/>
            </w:rPr>
          </w:pPr>
          <w:r>
            <w:rPr>
              <w:color w:val="002060"/>
              <w:sz w:val="19"/>
              <w:szCs w:val="19"/>
              <w:lang w:val="en-US"/>
            </w:rPr>
          </w:r>
          <w:r/>
        </w:p>
      </w:tc>
    </w:tr>
  </w:tbl>
  <w:p>
    <w:pPr>
      <w:pStyle w:val="784"/>
      <w:rPr>
        <w:lang w:val="en-US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-411480</wp:posOffset>
              </wp:positionV>
              <wp:extent cx="7772748" cy="2185670"/>
              <wp:effectExtent l="0" t="0" r="0" b="0"/>
              <wp:wrapTight wrapText="bothSides">
                <wp:wrapPolygon edited="1">
                  <wp:start x="0" y="-188"/>
                  <wp:lineTo x="0" y="3200"/>
                  <wp:lineTo x="0" y="5460"/>
                  <wp:lineTo x="0" y="6589"/>
                  <wp:lineTo x="0" y="7718"/>
                  <wp:lineTo x="0" y="9978"/>
                  <wp:lineTo x="0" y="11107"/>
                  <wp:lineTo x="0" y="12237"/>
                  <wp:lineTo x="0" y="13367"/>
                  <wp:lineTo x="0" y="14495"/>
                  <wp:lineTo x="0" y="15626"/>
                  <wp:lineTo x="0" y="16755"/>
                  <wp:lineTo x="0" y="17885"/>
                  <wp:lineTo x="0" y="19015"/>
                  <wp:lineTo x="0" y="20144"/>
                  <wp:lineTo x="0" y="21274"/>
                  <wp:lineTo x="21600" y="21274"/>
                  <wp:lineTo x="21600" y="20144"/>
                  <wp:lineTo x="21600" y="17885"/>
                  <wp:lineTo x="21600" y="16755"/>
                  <wp:lineTo x="21600" y="15626"/>
                  <wp:lineTo x="21600" y="14495"/>
                  <wp:lineTo x="21600" y="12237"/>
                  <wp:lineTo x="21600" y="9978"/>
                  <wp:lineTo x="21600" y="8848"/>
                  <wp:lineTo x="21600" y="7718"/>
                  <wp:lineTo x="21600" y="6589"/>
                  <wp:lineTo x="21600" y="4330"/>
                  <wp:lineTo x="21600" y="3200"/>
                  <wp:lineTo x="21600" y="2071"/>
                  <wp:lineTo x="21600" y="-188"/>
                  <wp:lineTo x="0" y="-188"/>
                </wp:wrapPolygon>
              </wp:wrapTight>
              <wp:docPr id="1" name="Рисунок 7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Шапка бланка 2.tif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72748" cy="2185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so-position-horizontal:right;mso-position-vertical-relative:text;margin-top:-32.4pt;mso-position-vertical:absolute;width:612.0pt;height:172.1pt;" wrapcoords="0 -869 0 14815 0 25278 0 30505 0 35731 0 46194 0 51421 0 56653 0 61884 0 67106 0 72343 0 77569 0 82801 0 88032 0 93259 0 98491 100000 98491 100000 93259 100000 82801 100000 77569 100000 72343 100000 67106 100000 56653 100000 46194 100000 40963 100000 35731 100000 30505 100000 20046 100000 14815 100000 9588 100000 -869 0 -869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multiLevelType w:val="hybridMultilevel"/>
    <w:styleLink w:val="775"/>
    <w:lvl w:ilvl="0">
      <w:start w:val="1"/>
      <w:numFmt w:val="decimal"/>
      <w:pStyle w:val="775"/>
      <w:isLgl w:val="false"/>
      <w:suff w:val="tab"/>
      <w:lvlText w:val="%1."/>
      <w:lvlJc w:val="left"/>
      <w:pPr>
        <w:ind w:left="227" w:hanging="227"/>
        <w:tabs>
          <w:tab w:val="num" w:pos="227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454" w:hanging="227"/>
        <w:tabs>
          <w:tab w:val="num" w:pos="454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2">
      <w:start w:val="1"/>
      <w:numFmt w:val="lowerRoman"/>
      <w:isLgl w:val="false"/>
      <w:suff w:val="tab"/>
      <w:lvlText w:val="%3."/>
      <w:lvlJc w:val="left"/>
      <w:pPr>
        <w:ind w:left="680" w:hanging="226"/>
        <w:tabs>
          <w:tab w:val="num" w:pos="680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3">
      <w:start w:val="1"/>
      <w:numFmt w:val="decimal"/>
      <w:isLgl w:val="false"/>
      <w:suff w:val="tab"/>
      <w:lvlText w:val="(%4)"/>
      <w:lvlJc w:val="left"/>
      <w:pPr>
        <w:ind w:left="7920" w:hanging="360"/>
        <w:tabs>
          <w:tab w:val="num" w:pos="792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8280" w:hanging="360"/>
        <w:tabs>
          <w:tab w:val="num" w:pos="828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8640" w:hanging="360"/>
        <w:tabs>
          <w:tab w:val="num" w:pos="86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9000" w:hanging="360"/>
        <w:tabs>
          <w:tab w:val="num" w:pos="900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9360" w:hanging="360"/>
        <w:tabs>
          <w:tab w:val="num" w:pos="936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9720" w:hanging="360"/>
        <w:tabs>
          <w:tab w:val="num" w:pos="97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7" w:hanging="360"/>
        <w:tabs>
          <w:tab w:val="num" w:pos="927" w:leader="none"/>
        </w:tabs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isLgl w:val="false"/>
      <w:suff w:val="tab"/>
      <w:lvlText w:val=""/>
      <w:lvlJc w:val="left"/>
      <w:pPr>
        <w:ind w:left="1247" w:hanging="340"/>
        <w:tabs>
          <w:tab w:val="num" w:pos="1247" w:leader="none"/>
        </w:tabs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isLgl w:val="false"/>
      <w:suff w:val="tab"/>
      <w:lvlText w:val=""/>
      <w:lvlJc w:val="left"/>
      <w:pPr>
        <w:ind w:left="1588" w:hanging="341"/>
        <w:tabs>
          <w:tab w:val="num" w:pos="1588" w:leader="none"/>
        </w:tabs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isLgl w:val="false"/>
      <w:suff w:val="tab"/>
      <w:lvlText w:val=""/>
      <w:lvlJc w:val="left"/>
      <w:pPr>
        <w:ind w:left="1928" w:hanging="340"/>
        <w:tabs>
          <w:tab w:val="num" w:pos="1928" w:leader="none"/>
        </w:tabs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  <w:i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63"/>
    <w:next w:val="76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6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63"/>
    <w:next w:val="76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6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63"/>
    <w:next w:val="76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6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63"/>
    <w:next w:val="76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63"/>
    <w:next w:val="76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63"/>
    <w:next w:val="76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63"/>
    <w:next w:val="7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63"/>
    <w:next w:val="7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63"/>
    <w:next w:val="7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6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63"/>
    <w:next w:val="76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64"/>
    <w:link w:val="32"/>
    <w:uiPriority w:val="10"/>
    <w:rPr>
      <w:sz w:val="48"/>
      <w:szCs w:val="48"/>
    </w:rPr>
  </w:style>
  <w:style w:type="paragraph" w:styleId="34">
    <w:name w:val="Subtitle"/>
    <w:basedOn w:val="763"/>
    <w:next w:val="76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64"/>
    <w:link w:val="34"/>
    <w:uiPriority w:val="11"/>
    <w:rPr>
      <w:sz w:val="24"/>
      <w:szCs w:val="24"/>
    </w:rPr>
  </w:style>
  <w:style w:type="paragraph" w:styleId="36">
    <w:name w:val="Quote"/>
    <w:basedOn w:val="763"/>
    <w:next w:val="7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63"/>
    <w:next w:val="7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4"/>
    <w:link w:val="784"/>
    <w:uiPriority w:val="99"/>
  </w:style>
  <w:style w:type="character" w:styleId="43">
    <w:name w:val="Footer Char"/>
    <w:basedOn w:val="764"/>
    <w:link w:val="786"/>
    <w:uiPriority w:val="99"/>
  </w:style>
  <w:style w:type="paragraph" w:styleId="44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6"/>
    <w:uiPriority w:val="99"/>
  </w:style>
  <w:style w:type="table" w:styleId="47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64"/>
    <w:uiPriority w:val="99"/>
    <w:unhideWhenUsed/>
    <w:rPr>
      <w:vertAlign w:val="superscript"/>
    </w:rPr>
  </w:style>
  <w:style w:type="paragraph" w:styleId="176">
    <w:name w:val="endnote text"/>
    <w:basedOn w:val="7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4"/>
    <w:uiPriority w:val="99"/>
    <w:semiHidden/>
    <w:unhideWhenUsed/>
    <w:rPr>
      <w:vertAlign w:val="superscript"/>
    </w:rPr>
  </w:style>
  <w:style w:type="paragraph" w:styleId="179">
    <w:name w:val="toc 1"/>
    <w:basedOn w:val="763"/>
    <w:next w:val="7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63"/>
    <w:next w:val="7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63"/>
    <w:next w:val="7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63"/>
    <w:next w:val="7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63"/>
    <w:next w:val="7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63"/>
    <w:next w:val="7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63"/>
    <w:next w:val="7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63"/>
    <w:next w:val="7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63"/>
    <w:next w:val="7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63"/>
    <w:next w:val="763"/>
    <w:uiPriority w:val="99"/>
    <w:unhideWhenUsed/>
    <w:pPr>
      <w:spacing w:after="0" w:afterAutospacing="0"/>
    </w:pPr>
  </w:style>
  <w:style w:type="paragraph" w:styleId="763" w:default="1">
    <w:name w:val="Normal"/>
    <w:qFormat/>
    <w:rPr>
      <w:sz w:val="24"/>
      <w:szCs w:val="24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 w:customStyle="1">
    <w:name w:val="Знак Знак Знак Знак Знак Знак Знак Знак Знак Знак"/>
    <w:basedOn w:val="763"/>
    <w:pPr>
      <w:spacing w:after="160" w:line="240" w:lineRule="exact"/>
    </w:pPr>
    <w:rPr>
      <w:sz w:val="28"/>
      <w:szCs w:val="20"/>
      <w:lang w:val="en-US" w:eastAsia="en-US"/>
    </w:rPr>
  </w:style>
  <w:style w:type="character" w:styleId="768">
    <w:name w:val="annotation reference"/>
    <w:rPr>
      <w:sz w:val="16"/>
      <w:szCs w:val="16"/>
    </w:rPr>
  </w:style>
  <w:style w:type="paragraph" w:styleId="769">
    <w:name w:val="annotation text"/>
    <w:basedOn w:val="763"/>
    <w:link w:val="791"/>
    <w:rPr>
      <w:sz w:val="20"/>
      <w:szCs w:val="20"/>
    </w:rPr>
  </w:style>
  <w:style w:type="paragraph" w:styleId="771">
    <w:name w:val="annotation subject"/>
    <w:basedOn w:val="769"/>
    <w:next w:val="769"/>
    <w:link w:val="772"/>
    <w:rPr>
      <w:b/>
      <w:bCs/>
    </w:rPr>
  </w:style>
  <w:style w:type="character" w:styleId="772" w:customStyle="1">
    <w:name w:val="Тема примечания Знак"/>
    <w:link w:val="771"/>
    <w:rPr>
      <w:b/>
      <w:bCs/>
    </w:rPr>
  </w:style>
  <w:style w:type="paragraph" w:styleId="773">
    <w:name w:val="Balloon Text"/>
    <w:basedOn w:val="763"/>
    <w:link w:val="774"/>
    <w:rPr>
      <w:rFonts w:ascii="Tahoma" w:hAnsi="Tahoma" w:cs="Tahoma"/>
      <w:sz w:val="16"/>
      <w:szCs w:val="16"/>
    </w:rPr>
  </w:style>
  <w:style w:type="character" w:styleId="774" w:customStyle="1">
    <w:name w:val="Текст выноски Знак"/>
    <w:link w:val="773"/>
    <w:rPr>
      <w:rFonts w:ascii="Tahoma" w:hAnsi="Tahoma" w:cs="Tahoma"/>
      <w:sz w:val="16"/>
      <w:szCs w:val="16"/>
    </w:rPr>
  </w:style>
  <w:style w:type="numbering" w:styleId="775" w:customStyle="1">
    <w:name w:val="Numbered List Table"/>
    <w:basedOn w:val="766"/>
    <w:pPr>
      <w:numPr>
        <w:numId w:val="5"/>
      </w:numPr>
    </w:pPr>
  </w:style>
  <w:style w:type="paragraph" w:styleId="776">
    <w:name w:val="Body Text"/>
    <w:basedOn w:val="763"/>
    <w:link w:val="777"/>
    <w:pPr>
      <w:ind w:firstLine="709"/>
      <w:jc w:val="both"/>
      <w:spacing w:after="120"/>
    </w:pPr>
  </w:style>
  <w:style w:type="character" w:styleId="777" w:customStyle="1">
    <w:name w:val="Основной текст Знак"/>
    <w:link w:val="776"/>
    <w:rPr>
      <w:sz w:val="24"/>
      <w:szCs w:val="24"/>
    </w:rPr>
  </w:style>
  <w:style w:type="paragraph" w:styleId="778">
    <w:name w:val="Document Map"/>
    <w:basedOn w:val="763"/>
    <w:link w:val="779"/>
    <w:rPr>
      <w:rFonts w:ascii="Tahoma" w:hAnsi="Tahoma" w:cs="Tahoma"/>
      <w:sz w:val="16"/>
      <w:szCs w:val="16"/>
    </w:rPr>
  </w:style>
  <w:style w:type="character" w:styleId="779" w:customStyle="1">
    <w:name w:val="Схема документа Знак"/>
    <w:link w:val="778"/>
    <w:rPr>
      <w:rFonts w:ascii="Tahoma" w:hAnsi="Tahoma" w:cs="Tahoma"/>
      <w:sz w:val="16"/>
      <w:szCs w:val="16"/>
    </w:rPr>
  </w:style>
  <w:style w:type="paragraph" w:styleId="780" w:customStyle="1">
    <w:name w:val="титульный лист центр"/>
    <w:basedOn w:val="763"/>
    <w:link w:val="781"/>
    <w:pPr>
      <w:jc w:val="center"/>
      <w:spacing w:before="40"/>
    </w:pPr>
    <w:rPr>
      <w:b/>
      <w:bCs/>
      <w:sz w:val="28"/>
      <w:szCs w:val="28"/>
    </w:rPr>
  </w:style>
  <w:style w:type="character" w:styleId="781" w:customStyle="1">
    <w:name w:val="титульный лист центр Char"/>
    <w:link w:val="780"/>
    <w:rPr>
      <w:b/>
      <w:bCs/>
      <w:sz w:val="28"/>
      <w:szCs w:val="28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Header"/>
    <w:basedOn w:val="763"/>
    <w:link w:val="785"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64"/>
    <w:link w:val="784"/>
    <w:rPr>
      <w:sz w:val="24"/>
      <w:szCs w:val="24"/>
    </w:rPr>
  </w:style>
  <w:style w:type="paragraph" w:styleId="786">
    <w:name w:val="Footer"/>
    <w:basedOn w:val="763"/>
    <w:link w:val="787"/>
    <w:pPr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64"/>
    <w:link w:val="786"/>
    <w:rPr>
      <w:sz w:val="24"/>
      <w:szCs w:val="24"/>
    </w:rPr>
  </w:style>
  <w:style w:type="character" w:styleId="788" w:customStyle="1">
    <w:name w:val="Matrix"/>
    <w:basedOn w:val="764"/>
    <w:rPr>
      <w:b/>
    </w:rPr>
  </w:style>
  <w:style w:type="paragraph" w:styleId="789" w:customStyle="1">
    <w:name w:val="PictureTitle"/>
    <w:basedOn w:val="763"/>
    <w:link w:val="790"/>
    <w:pPr>
      <w:jc w:val="center"/>
      <w:keepLines/>
      <w:keepNext/>
      <w:spacing w:line="300" w:lineRule="auto"/>
    </w:pPr>
    <w:rPr>
      <w:sz w:val="28"/>
      <w:szCs w:val="20"/>
    </w:rPr>
  </w:style>
  <w:style w:type="character" w:styleId="790" w:customStyle="1">
    <w:name w:val="PictureTitle Знак"/>
    <w:basedOn w:val="764"/>
    <w:link w:val="789"/>
    <w:rPr>
      <w:sz w:val="28"/>
    </w:rPr>
  </w:style>
  <w:style w:type="character" w:styleId="791">
    <w:name w:val="Hyperlink"/>
    <w:basedOn w:val="76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Relationship Id="rId16" Type="http://schemas.openxmlformats.org/officeDocument/2006/relationships/hyperlink" Target="https://documentolog.com/?verify=KZSLSG82025100235460D0ABAC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АОНИТ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Жамантай Сымбат Турсынқызы</cp:lastModifiedBy>
  <cp:revision>8</cp:revision>
  <dcterms:created xsi:type="dcterms:W3CDTF">2025-03-17T09:52:00Z</dcterms:created>
  <dcterms:modified xsi:type="dcterms:W3CDTF">2025-03-28T09:55:12Z</dcterms:modified>
</cp:coreProperties>
</file>