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9E" w:rsidRDefault="002C38F2" w:rsidP="00AD3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С</w:t>
      </w:r>
      <w:r w:rsidR="007F559E"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25 октября по 10 ноября 2023 года</w:t>
      </w:r>
      <w:r w:rsidR="007F559E"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559E"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состоится </w:t>
      </w:r>
      <w:r w:rsidR="007F559E"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п</w:t>
      </w:r>
      <w:proofErr w:type="spellStart"/>
      <w:r w:rsidR="007F559E"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риём</w:t>
      </w:r>
      <w:proofErr w:type="spellEnd"/>
      <w:r w:rsidR="007F559E"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документов на зимний набор по образовательным программам магистратуры</w:t>
      </w:r>
    </w:p>
    <w:p w:rsidR="007F559E" w:rsidRDefault="007F559E" w:rsidP="00AD3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D72704" w:rsidRPr="00E05A45" w:rsidRDefault="00EE47AE" w:rsidP="00AD3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  <w:r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Уважаемые претенденты! </w:t>
      </w:r>
    </w:p>
    <w:p w:rsidR="00D72704" w:rsidRPr="00E05A45" w:rsidRDefault="00D72704" w:rsidP="00AD3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D72704" w:rsidRPr="00E05A45" w:rsidRDefault="00D72704" w:rsidP="00AD3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hAnsi="Times New Roman" w:cs="Times New Roman"/>
          <w:sz w:val="28"/>
          <w:szCs w:val="28"/>
          <w:lang w:val="kk-KZ"/>
        </w:rPr>
        <w:t>В соответствии с</w:t>
      </w:r>
      <w:r w:rsidRPr="00E05A45">
        <w:rPr>
          <w:rFonts w:ascii="Times New Roman" w:hAnsi="Times New Roman" w:cs="Times New Roman"/>
          <w:sz w:val="28"/>
          <w:szCs w:val="28"/>
        </w:rPr>
        <w:t xml:space="preserve"> Правилами приема на обучение в организации образования, реализующие образовательные программы высшего и послевузовского образования, в период </w:t>
      </w:r>
      <w:r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с</w:t>
      </w:r>
      <w:r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25 октября по 10 ноября 2023 года</w:t>
      </w: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состоится </w:t>
      </w:r>
      <w:r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п</w:t>
      </w:r>
      <w:proofErr w:type="spellStart"/>
      <w:r w:rsidR="003217B4"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риё</w:t>
      </w:r>
      <w:r w:rsidR="00AD3EB9"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</w:t>
      </w:r>
      <w:proofErr w:type="spellEnd"/>
      <w:r w:rsidR="004E3BD4"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документов на зимний набор по образовательным программам магистратуры.</w:t>
      </w:r>
    </w:p>
    <w:p w:rsidR="00B10782" w:rsidRPr="00E05A45" w:rsidRDefault="00B10782" w:rsidP="00AD3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72704" w:rsidRPr="00E05A45" w:rsidRDefault="00D72704" w:rsidP="00AD3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Претенденты, поступающие в магистратуру</w:t>
      </w:r>
      <w:r w:rsidR="004E3BD4"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период с 25 октября по 10 ноября календарного года</w:t>
      </w:r>
      <w:r w:rsidR="00AD3EB9"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подают заявление</w:t>
      </w:r>
      <w:r w:rsidR="00AD3EB9"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через информационную систему Национального центра</w:t>
      </w: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</w:t>
      </w:r>
      <w:r w:rsidR="004E3BD4"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стирования для участия в Комплексном тестировании</w:t>
      </w:r>
      <w:r w:rsidR="00AD3EB9"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B10782" w:rsidRPr="00E05A45" w:rsidRDefault="00B10782" w:rsidP="00AD3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3EB9" w:rsidRPr="00E05A45" w:rsidRDefault="001B52F5" w:rsidP="001B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Для подачи заявления:</w:t>
      </w:r>
    </w:p>
    <w:p w:rsidR="00AD3EB9" w:rsidRPr="00E05A45" w:rsidRDefault="00AD3EB9" w:rsidP="001B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зайти на сайт app.testcenter.kz/ и выбрать язык интерфейса; </w:t>
      </w:r>
    </w:p>
    <w:p w:rsidR="00AD3EB9" w:rsidRPr="00E05A45" w:rsidRDefault="00AD3EB9" w:rsidP="001B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зарегистрироваться в системе подачи заявлений с помощью электронной почты (в полученном письме от Национального центра тестирования обязательно подтвердить электронную почту); </w:t>
      </w:r>
    </w:p>
    <w:p w:rsidR="00AD3EB9" w:rsidRPr="00E05A45" w:rsidRDefault="00AD3EB9" w:rsidP="001B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авторизоваться через полученные логин и пароль в системе подачи заявлений (нельзя удалять письмо, где указаны логин и пароль);</w:t>
      </w:r>
    </w:p>
    <w:p w:rsidR="00AD3EB9" w:rsidRPr="00E05A45" w:rsidRDefault="00AD3EB9" w:rsidP="001B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указать ИИН и нажать на кнопку поиска (Ф.И.О. выводится автоматически), указать контактный номер телефона; </w:t>
      </w:r>
    </w:p>
    <w:p w:rsidR="00AD3EB9" w:rsidRPr="00E05A45" w:rsidRDefault="00AD3EB9" w:rsidP="001B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перейти во вкладку «Подать заявление» и выбрать «Послевузовское образование»;</w:t>
      </w:r>
    </w:p>
    <w:p w:rsidR="00AD3EB9" w:rsidRPr="00E05A45" w:rsidRDefault="00AD3EB9" w:rsidP="001B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выбрать необходимый вид тестирования; </w:t>
      </w:r>
    </w:p>
    <w:p w:rsidR="00AD3EB9" w:rsidRPr="00E05A45" w:rsidRDefault="00AD3EB9" w:rsidP="001B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заполнить данные для регистрации; </w:t>
      </w:r>
    </w:p>
    <w:p w:rsidR="00AD3EB9" w:rsidRPr="00E05A45" w:rsidRDefault="00AD3EB9" w:rsidP="001B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подтвердить ознакомление с правилами проведения КТ; </w:t>
      </w:r>
    </w:p>
    <w:p w:rsidR="00AD3EB9" w:rsidRPr="00E05A45" w:rsidRDefault="00AD3EB9" w:rsidP="001B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выбрать способ оплаты и произвести оплату за тестирование.</w:t>
      </w:r>
    </w:p>
    <w:p w:rsidR="00AD3EB9" w:rsidRPr="00E05A45" w:rsidRDefault="00AD3EB9" w:rsidP="00A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 успешного прохождения всех этапов будет отображено сообщение: «Заявление подано успешно!». </w:t>
      </w:r>
    </w:p>
    <w:p w:rsidR="00B10782" w:rsidRPr="00E05A45" w:rsidRDefault="00B10782" w:rsidP="00A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D3EB9" w:rsidRPr="00E05A45" w:rsidRDefault="00AD3EB9" w:rsidP="00B10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Поступающий самостоятельно выбирает город сдачи тестирования. </w:t>
      </w:r>
    </w:p>
    <w:p w:rsidR="00AD3EB9" w:rsidRPr="00E05A45" w:rsidRDefault="00AD3EB9" w:rsidP="001B5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закрытия базы приема заявлений выбранная группа образовательных программ не подлежит изменению. Информация о месте и времени проведения тестирования будет доступна в личном кабинете поступающего. </w:t>
      </w:r>
    </w:p>
    <w:p w:rsidR="004E3BD4" w:rsidRPr="00E05A45" w:rsidRDefault="004E3BD4" w:rsidP="00AD3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00618" w:rsidRPr="00E05A45" w:rsidRDefault="00B10782" w:rsidP="00B10782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E05A45">
        <w:rPr>
          <w:rFonts w:ascii="Times New Roman" w:hAnsi="Times New Roman" w:cs="Times New Roman"/>
          <w:b/>
          <w:sz w:val="28"/>
          <w:szCs w:val="28"/>
        </w:rPr>
        <w:t>В комплексное тестирование входят:</w:t>
      </w:r>
    </w:p>
    <w:p w:rsidR="00B10782" w:rsidRPr="00E05A45" w:rsidRDefault="00E00618" w:rsidP="00B10782">
      <w:pPr>
        <w:ind w:left="708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>Научно-педагогическая магистратура:</w:t>
      </w:r>
      <w:r w:rsidR="00B10782" w:rsidRPr="00E05A45">
        <w:rPr>
          <w:rFonts w:ascii="Times New Roman" w:hAnsi="Times New Roman" w:cs="Times New Roman"/>
          <w:sz w:val="28"/>
          <w:szCs w:val="28"/>
        </w:rPr>
        <w:br/>
        <w:t xml:space="preserve">1. Тест по иностранному языку (не сдается при наличии IELTS </w:t>
      </w:r>
      <w:proofErr w:type="gramStart"/>
      <w:r w:rsidR="00B10782" w:rsidRPr="00E05A45">
        <w:rPr>
          <w:rFonts w:ascii="Times New Roman" w:hAnsi="Times New Roman" w:cs="Times New Roman"/>
          <w:sz w:val="28"/>
          <w:szCs w:val="28"/>
        </w:rPr>
        <w:t>6.0,TOEFL</w:t>
      </w:r>
      <w:proofErr w:type="gramEnd"/>
      <w:r w:rsidR="00B10782" w:rsidRPr="00E05A45">
        <w:rPr>
          <w:rFonts w:ascii="Times New Roman" w:hAnsi="Times New Roman" w:cs="Times New Roman"/>
          <w:sz w:val="28"/>
          <w:szCs w:val="28"/>
        </w:rPr>
        <w:t xml:space="preserve"> (IBT 60, PBT 498)</w:t>
      </w:r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r w:rsidR="00B10782" w:rsidRPr="00E05A45">
        <w:rPr>
          <w:rFonts w:ascii="Times New Roman" w:hAnsi="Times New Roman" w:cs="Times New Roman"/>
          <w:sz w:val="28"/>
          <w:szCs w:val="28"/>
        </w:rPr>
        <w:t> ;</w:t>
      </w:r>
      <w:r w:rsidR="00B10782" w:rsidRPr="00E05A45">
        <w:rPr>
          <w:rFonts w:ascii="Times New Roman" w:hAnsi="Times New Roman" w:cs="Times New Roman"/>
          <w:sz w:val="28"/>
          <w:szCs w:val="28"/>
        </w:rPr>
        <w:br/>
      </w:r>
      <w:r w:rsidR="00B10782" w:rsidRPr="00E05A45">
        <w:rPr>
          <w:rFonts w:ascii="Times New Roman" w:hAnsi="Times New Roman" w:cs="Times New Roman"/>
          <w:sz w:val="28"/>
          <w:szCs w:val="28"/>
        </w:rPr>
        <w:lastRenderedPageBreak/>
        <w:t>2. Тест на определение готовности к обучению;</w:t>
      </w:r>
      <w:r w:rsidR="00B10782" w:rsidRPr="00E05A45">
        <w:rPr>
          <w:rFonts w:ascii="Times New Roman" w:hAnsi="Times New Roman" w:cs="Times New Roman"/>
          <w:sz w:val="28"/>
          <w:szCs w:val="28"/>
        </w:rPr>
        <w:br/>
        <w:t>3. Тесты по профилю группы образовательных  программ.</w:t>
      </w:r>
    </w:p>
    <w:p w:rsidR="00E00618" w:rsidRPr="00E05A45" w:rsidRDefault="00E00618" w:rsidP="00B10782">
      <w:pPr>
        <w:ind w:left="708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>Профильная магистратура:</w:t>
      </w:r>
    </w:p>
    <w:p w:rsidR="00E00618" w:rsidRPr="00E05A45" w:rsidRDefault="00E00618" w:rsidP="00E0061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>Тест на определение готовности к обучению;</w:t>
      </w:r>
    </w:p>
    <w:p w:rsidR="00E00618" w:rsidRPr="00E05A45" w:rsidRDefault="00E00618" w:rsidP="00E0061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 Тесты по профилю группы образовательных программ.</w:t>
      </w:r>
    </w:p>
    <w:p w:rsidR="00B10782" w:rsidRPr="00E05A45" w:rsidRDefault="00B10782" w:rsidP="004E3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Проходной балл для поступающих на научно-педагогическую магистратуру – 75 баллов, для поступающих на профильную магистратуру – 50 баллов</w:t>
      </w:r>
    </w:p>
    <w:p w:rsidR="00B10782" w:rsidRPr="00E05A45" w:rsidRDefault="00B10782" w:rsidP="004E3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0782" w:rsidRPr="00E05A45" w:rsidRDefault="00B10782" w:rsidP="00BB3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>ПРОБНЫЙ тест Комплексного тестирования доступен по данной </w:t>
      </w:r>
      <w:hyperlink r:id="rId5" w:history="1">
        <w:r w:rsidRPr="00E05A4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ссылке</w:t>
        </w:r>
      </w:hyperlink>
      <w:r w:rsidR="00B14566" w:rsidRPr="00E05A4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6" w:history="1">
        <w:r w:rsidR="00B14566" w:rsidRPr="00E05A4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https://www.testcenter.kz/ru/postupayushchim-v-magistraturu-i-doktoranturu/kompleksnoe-testirovanie/stoimost-uchastiya-v-kompleksnom-testirovanii-i-perechen-dokumentov/</w:t>
        </w:r>
      </w:hyperlink>
    </w:p>
    <w:p w:rsidR="008A4566" w:rsidRDefault="00B10782" w:rsidP="00F97379">
      <w:pPr>
        <w:spacing w:after="18" w:line="249" w:lineRule="auto"/>
        <w:ind w:right="20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Зимний прием в магистратуру </w:t>
      </w:r>
      <w:r w:rsidR="00E00618" w:rsidRPr="00E05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МУА </w:t>
      </w:r>
      <w:r w:rsidRPr="00E05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только </w:t>
      </w:r>
      <w:r w:rsidR="0040325C" w:rsidRPr="00E05A45">
        <w:rPr>
          <w:rFonts w:ascii="Times New Roman" w:hAnsi="Times New Roman" w:cs="Times New Roman"/>
          <w:b/>
          <w:sz w:val="28"/>
          <w:szCs w:val="28"/>
          <w:lang w:val="kk-KZ"/>
        </w:rPr>
        <w:t>на платной основе по следу</w:t>
      </w:r>
      <w:r w:rsidRPr="00E05A45">
        <w:rPr>
          <w:rFonts w:ascii="Times New Roman" w:hAnsi="Times New Roman" w:cs="Times New Roman"/>
          <w:b/>
          <w:sz w:val="28"/>
          <w:szCs w:val="28"/>
          <w:lang w:val="kk-KZ"/>
        </w:rPr>
        <w:t>ющим образовательным программам</w:t>
      </w:r>
      <w:r w:rsidR="00071253" w:rsidRPr="00E05A4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40325C" w:rsidRPr="00E05A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F97379" w:rsidRDefault="00F97379" w:rsidP="00F97379">
      <w:pPr>
        <w:spacing w:after="18" w:line="249" w:lineRule="auto"/>
        <w:ind w:right="202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9"/>
        <w:tblW w:w="9345" w:type="dxa"/>
        <w:tblLook w:val="04A0" w:firstRow="1" w:lastRow="0" w:firstColumn="1" w:lastColumn="0" w:noHBand="0" w:noVBand="1"/>
      </w:tblPr>
      <w:tblGrid>
        <w:gridCol w:w="559"/>
        <w:gridCol w:w="2413"/>
        <w:gridCol w:w="2759"/>
        <w:gridCol w:w="1427"/>
        <w:gridCol w:w="2187"/>
      </w:tblGrid>
      <w:tr w:rsidR="00F97379" w:rsidTr="00F97379">
        <w:tc>
          <w:tcPr>
            <w:tcW w:w="559" w:type="dxa"/>
          </w:tcPr>
          <w:p w:rsidR="00A942E7" w:rsidRPr="00A942E7" w:rsidRDefault="00A942E7" w:rsidP="00A942E7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</w:tcPr>
          <w:p w:rsidR="00A942E7" w:rsidRPr="00A942E7" w:rsidRDefault="00A942E7" w:rsidP="00A942E7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Группа образовательных программ</w:t>
            </w:r>
          </w:p>
        </w:tc>
        <w:tc>
          <w:tcPr>
            <w:tcW w:w="2759" w:type="dxa"/>
          </w:tcPr>
          <w:p w:rsidR="00A942E7" w:rsidRPr="00A942E7" w:rsidRDefault="00A942E7" w:rsidP="00A942E7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Образовательные программы</w:t>
            </w:r>
          </w:p>
        </w:tc>
        <w:tc>
          <w:tcPr>
            <w:tcW w:w="1427" w:type="dxa"/>
          </w:tcPr>
          <w:p w:rsidR="00A942E7" w:rsidRPr="00A942E7" w:rsidRDefault="00A942E7" w:rsidP="00A942E7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 обучения</w:t>
            </w:r>
          </w:p>
        </w:tc>
        <w:tc>
          <w:tcPr>
            <w:tcW w:w="2187" w:type="dxa"/>
          </w:tcPr>
          <w:p w:rsidR="00A942E7" w:rsidRDefault="00A942E7" w:rsidP="00A942E7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Присуждаемая</w:t>
            </w:r>
          </w:p>
          <w:p w:rsidR="00A942E7" w:rsidRPr="00A942E7" w:rsidRDefault="00A942E7" w:rsidP="00A942E7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степень</w:t>
            </w:r>
          </w:p>
        </w:tc>
      </w:tr>
      <w:tr w:rsidR="00F97379" w:rsidTr="006637AD">
        <w:tc>
          <w:tcPr>
            <w:tcW w:w="9345" w:type="dxa"/>
            <w:gridSpan w:val="5"/>
          </w:tcPr>
          <w:p w:rsidR="00F97379" w:rsidRPr="00F97379" w:rsidRDefault="005C6294" w:rsidP="005C6294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3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ПРОФИЛЬНОЕ НАПРАВЛЕНИЕ</w:t>
            </w:r>
          </w:p>
        </w:tc>
      </w:tr>
      <w:tr w:rsidR="00F97379" w:rsidTr="00F97379">
        <w:tc>
          <w:tcPr>
            <w:tcW w:w="559" w:type="dxa"/>
            <w:vMerge w:val="restart"/>
          </w:tcPr>
          <w:p w:rsidR="00A942E7" w:rsidRPr="00A942E7" w:rsidRDefault="00A942E7" w:rsidP="008A4566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  <w:vMerge w:val="restart"/>
          </w:tcPr>
          <w:p w:rsidR="00A942E7" w:rsidRPr="00A942E7" w:rsidRDefault="00A942E7" w:rsidP="00A942E7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 140</w:t>
            </w:r>
            <w:r w:rsidRPr="00A94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94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«Общественное здоровье»</w:t>
            </w:r>
          </w:p>
        </w:tc>
        <w:tc>
          <w:tcPr>
            <w:tcW w:w="2759" w:type="dxa"/>
          </w:tcPr>
          <w:p w:rsidR="00A942E7" w:rsidRPr="00A942E7" w:rsidRDefault="00A942E7" w:rsidP="00A942E7">
            <w:pPr>
              <w:spacing w:after="18" w:line="249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7М10128 </w:t>
            </w:r>
            <w:r w:rsidRPr="00A942E7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безопасность </w:t>
            </w:r>
          </w:p>
        </w:tc>
        <w:tc>
          <w:tcPr>
            <w:tcW w:w="1427" w:type="dxa"/>
            <w:vMerge w:val="restart"/>
          </w:tcPr>
          <w:p w:rsidR="00A942E7" w:rsidRPr="00A942E7" w:rsidRDefault="00A942E7" w:rsidP="00A942E7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2E7" w:rsidRPr="00A942E7" w:rsidRDefault="00A942E7" w:rsidP="00A942E7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год</w:t>
            </w:r>
          </w:p>
        </w:tc>
        <w:tc>
          <w:tcPr>
            <w:tcW w:w="2187" w:type="dxa"/>
            <w:vMerge w:val="restart"/>
          </w:tcPr>
          <w:p w:rsidR="00A942E7" w:rsidRPr="00A942E7" w:rsidRDefault="00A942E7" w:rsidP="00A942E7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2E7" w:rsidRPr="00A942E7" w:rsidRDefault="00A942E7" w:rsidP="00A942E7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  <w:p w:rsidR="00A942E7" w:rsidRPr="00A942E7" w:rsidRDefault="00A942E7" w:rsidP="00A942E7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здравоохранения</w:t>
            </w:r>
          </w:p>
        </w:tc>
      </w:tr>
      <w:tr w:rsidR="00F97379" w:rsidTr="00F97379">
        <w:tc>
          <w:tcPr>
            <w:tcW w:w="559" w:type="dxa"/>
            <w:vMerge/>
          </w:tcPr>
          <w:p w:rsidR="00A942E7" w:rsidRDefault="00A942E7" w:rsidP="008A4566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  <w:vMerge/>
          </w:tcPr>
          <w:p w:rsidR="00A942E7" w:rsidRDefault="00A942E7" w:rsidP="008A4566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A942E7" w:rsidRPr="00A942E7" w:rsidRDefault="00A942E7" w:rsidP="00A942E7">
            <w:pPr>
              <w:spacing w:after="18" w:line="249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7М10124 </w:t>
            </w:r>
            <w:r w:rsidRPr="00A942E7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Глобальное здоровье </w:t>
            </w:r>
          </w:p>
        </w:tc>
        <w:tc>
          <w:tcPr>
            <w:tcW w:w="1427" w:type="dxa"/>
            <w:vMerge/>
          </w:tcPr>
          <w:p w:rsidR="00A942E7" w:rsidRDefault="00A942E7" w:rsidP="008A4566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/>
          </w:tcPr>
          <w:p w:rsidR="00A942E7" w:rsidRDefault="00A942E7" w:rsidP="008A4566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97379" w:rsidTr="00F97379">
        <w:tc>
          <w:tcPr>
            <w:tcW w:w="559" w:type="dxa"/>
            <w:vMerge/>
          </w:tcPr>
          <w:p w:rsidR="00A942E7" w:rsidRDefault="00A942E7" w:rsidP="008A4566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  <w:vMerge/>
          </w:tcPr>
          <w:p w:rsidR="00A942E7" w:rsidRDefault="00A942E7" w:rsidP="008A4566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A942E7" w:rsidRPr="00A942E7" w:rsidRDefault="00A942E7" w:rsidP="00A942E7">
            <w:pPr>
              <w:spacing w:after="18" w:line="249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7М10119 </w:t>
            </w:r>
            <w:r w:rsidRPr="00A942E7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</w:p>
          <w:p w:rsidR="00A942E7" w:rsidRPr="00A942E7" w:rsidRDefault="00A942E7" w:rsidP="00A942E7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  <w:vMerge/>
          </w:tcPr>
          <w:p w:rsidR="00A942E7" w:rsidRDefault="00A942E7" w:rsidP="008A4566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/>
          </w:tcPr>
          <w:p w:rsidR="00A942E7" w:rsidRDefault="00A942E7" w:rsidP="008A4566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97379" w:rsidTr="00F97379">
        <w:tc>
          <w:tcPr>
            <w:tcW w:w="559" w:type="dxa"/>
            <w:vMerge/>
          </w:tcPr>
          <w:p w:rsidR="00A942E7" w:rsidRDefault="00A942E7" w:rsidP="008A4566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  <w:vMerge/>
          </w:tcPr>
          <w:p w:rsidR="00A942E7" w:rsidRDefault="00A942E7" w:rsidP="008A4566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A942E7" w:rsidRPr="00A942E7" w:rsidRDefault="00A942E7" w:rsidP="00A94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7М10116 Общественное здравоохранение</w:t>
            </w:r>
          </w:p>
          <w:p w:rsidR="00A942E7" w:rsidRPr="00A942E7" w:rsidRDefault="00A942E7" w:rsidP="00A942E7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  <w:vMerge/>
          </w:tcPr>
          <w:p w:rsidR="00A942E7" w:rsidRDefault="00A942E7" w:rsidP="008A4566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/>
          </w:tcPr>
          <w:p w:rsidR="00A942E7" w:rsidRDefault="00A942E7" w:rsidP="008A4566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97379" w:rsidTr="00F97379">
        <w:tc>
          <w:tcPr>
            <w:tcW w:w="559" w:type="dxa"/>
            <w:vMerge w:val="restart"/>
          </w:tcPr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  <w:vMerge w:val="restart"/>
          </w:tcPr>
          <w:p w:rsidR="00F97379" w:rsidRPr="00FF5149" w:rsidRDefault="00F97379" w:rsidP="00F97379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5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 139 «Менеджмент в здравоохранении»</w:t>
            </w:r>
          </w:p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F97379" w:rsidRPr="00FF514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7М10126 </w:t>
            </w:r>
            <w:r w:rsidRPr="00FF5149">
              <w:rPr>
                <w:rFonts w:ascii="Times New Roman" w:hAnsi="Times New Roman" w:cs="Times New Roman"/>
                <w:sz w:val="24"/>
                <w:szCs w:val="24"/>
              </w:rPr>
              <w:t>Медицинский туризм</w:t>
            </w:r>
          </w:p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  <w:vMerge w:val="restart"/>
          </w:tcPr>
          <w:p w:rsidR="00F97379" w:rsidRPr="00A942E7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79" w:rsidRPr="00A942E7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год</w:t>
            </w:r>
          </w:p>
        </w:tc>
        <w:tc>
          <w:tcPr>
            <w:tcW w:w="2187" w:type="dxa"/>
            <w:vMerge w:val="restart"/>
          </w:tcPr>
          <w:p w:rsidR="00F97379" w:rsidRPr="00A942E7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79" w:rsidRPr="00A942E7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  <w:p w:rsidR="00F97379" w:rsidRPr="00A942E7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здравоохранения</w:t>
            </w:r>
          </w:p>
        </w:tc>
      </w:tr>
      <w:tr w:rsidR="00F97379" w:rsidTr="00F97379">
        <w:tc>
          <w:tcPr>
            <w:tcW w:w="559" w:type="dxa"/>
            <w:vMerge/>
          </w:tcPr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  <w:vMerge/>
          </w:tcPr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F97379" w:rsidRPr="00FF514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7М10125 </w:t>
            </w:r>
            <w:r w:rsidRPr="00FF5149">
              <w:rPr>
                <w:rFonts w:ascii="Times New Roman" w:hAnsi="Times New Roman" w:cs="Times New Roman"/>
                <w:sz w:val="24"/>
                <w:szCs w:val="24"/>
              </w:rPr>
              <w:t>Экономика здравоохранения</w:t>
            </w:r>
          </w:p>
          <w:p w:rsidR="00F97379" w:rsidRPr="00FF514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  <w:vMerge/>
          </w:tcPr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/>
          </w:tcPr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97379" w:rsidTr="00F97379">
        <w:tc>
          <w:tcPr>
            <w:tcW w:w="559" w:type="dxa"/>
            <w:vMerge/>
          </w:tcPr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  <w:vMerge/>
          </w:tcPr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F97379" w:rsidRPr="00FF5149" w:rsidRDefault="00F97379" w:rsidP="00F973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7М10121 Менеджмент в здравоохранении</w:t>
            </w:r>
          </w:p>
          <w:p w:rsidR="00F97379" w:rsidRPr="00FF514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  <w:vMerge/>
          </w:tcPr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/>
          </w:tcPr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97379" w:rsidTr="00F97379">
        <w:tc>
          <w:tcPr>
            <w:tcW w:w="559" w:type="dxa"/>
          </w:tcPr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</w:tcPr>
          <w:p w:rsidR="00F97379" w:rsidRPr="00F97379" w:rsidRDefault="00F97379" w:rsidP="00F97379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3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 144 «Медицина»</w:t>
            </w:r>
          </w:p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F97379" w:rsidRP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7М10113 </w:t>
            </w:r>
            <w:r w:rsidRPr="00F97379"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</w:t>
            </w:r>
          </w:p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F97379" w:rsidRPr="00A942E7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79" w:rsidRPr="00A942E7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год</w:t>
            </w:r>
          </w:p>
        </w:tc>
        <w:tc>
          <w:tcPr>
            <w:tcW w:w="2187" w:type="dxa"/>
          </w:tcPr>
          <w:p w:rsidR="00F97379" w:rsidRPr="00A942E7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</w:t>
            </w:r>
          </w:p>
          <w:p w:rsidR="00F97379" w:rsidRPr="00A942E7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здравоохранения</w:t>
            </w:r>
          </w:p>
        </w:tc>
      </w:tr>
      <w:tr w:rsidR="00F97379" w:rsidTr="00DC59B3">
        <w:tc>
          <w:tcPr>
            <w:tcW w:w="9345" w:type="dxa"/>
            <w:gridSpan w:val="5"/>
          </w:tcPr>
          <w:p w:rsidR="005C6294" w:rsidRDefault="005C6294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379" w:rsidRPr="00F97379" w:rsidRDefault="005C6294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3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НАУЧНО-ПЕДАГОГИЧЕСКОЕ НАПРАВЛЕНИЕ</w:t>
            </w:r>
          </w:p>
        </w:tc>
      </w:tr>
      <w:tr w:rsidR="00F97379" w:rsidTr="00F97379">
        <w:tc>
          <w:tcPr>
            <w:tcW w:w="559" w:type="dxa"/>
          </w:tcPr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</w:tcPr>
          <w:p w:rsidR="00F97379" w:rsidRPr="00FF5149" w:rsidRDefault="00F97379" w:rsidP="00F97379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5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 139 «Менеджмент в здравоохранении»</w:t>
            </w:r>
          </w:p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F97379" w:rsidRP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7М10123 Медицинское право</w:t>
            </w:r>
          </w:p>
          <w:p w:rsidR="00F97379" w:rsidRP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</w:tcPr>
          <w:p w:rsidR="00F97379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79" w:rsidRPr="00A942E7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  <w:tc>
          <w:tcPr>
            <w:tcW w:w="2187" w:type="dxa"/>
          </w:tcPr>
          <w:p w:rsidR="00F97379" w:rsidRPr="00F97379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97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агистр медицинских наук</w:t>
            </w:r>
          </w:p>
        </w:tc>
      </w:tr>
      <w:tr w:rsidR="00F97379" w:rsidTr="00F97379">
        <w:tc>
          <w:tcPr>
            <w:tcW w:w="559" w:type="dxa"/>
          </w:tcPr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</w:tcPr>
          <w:p w:rsidR="00F97379" w:rsidRPr="00F97379" w:rsidRDefault="00F97379" w:rsidP="00F97379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3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 144 «Медицина»</w:t>
            </w:r>
          </w:p>
          <w:p w:rsid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F97379" w:rsidRP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7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7М10110 </w:t>
            </w:r>
            <w:r w:rsidRPr="00F97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Нутрициология</w:t>
            </w:r>
          </w:p>
          <w:p w:rsidR="00F97379" w:rsidRPr="00F97379" w:rsidRDefault="00F97379" w:rsidP="00F97379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</w:tcPr>
          <w:p w:rsidR="00F97379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379" w:rsidRPr="00A942E7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  <w:tc>
          <w:tcPr>
            <w:tcW w:w="2187" w:type="dxa"/>
          </w:tcPr>
          <w:p w:rsidR="00F97379" w:rsidRPr="00F97379" w:rsidRDefault="00F97379" w:rsidP="00F97379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97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агистр медицинских наук</w:t>
            </w:r>
          </w:p>
        </w:tc>
      </w:tr>
    </w:tbl>
    <w:p w:rsidR="00A942E7" w:rsidRDefault="00A942E7" w:rsidP="008A4566">
      <w:pPr>
        <w:spacing w:after="18" w:line="249" w:lineRule="auto"/>
        <w:ind w:right="20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0618" w:rsidRPr="00E05A45" w:rsidRDefault="00A776FF" w:rsidP="00A776FF">
      <w:pPr>
        <w:tabs>
          <w:tab w:val="left" w:pos="5670"/>
        </w:tabs>
        <w:spacing w:after="18" w:line="249" w:lineRule="auto"/>
        <w:ind w:left="1068" w:right="2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5A4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8630A" w:rsidRPr="00E05A45" w:rsidRDefault="0018630A" w:rsidP="005C6294">
      <w:pPr>
        <w:spacing w:after="18" w:line="249" w:lineRule="auto"/>
        <w:ind w:right="202"/>
        <w:jc w:val="both"/>
        <w:rPr>
          <w:rFonts w:ascii="Times New Roman" w:hAnsi="Times New Roman" w:cs="Times New Roman"/>
          <w:sz w:val="28"/>
          <w:szCs w:val="28"/>
        </w:rPr>
      </w:pPr>
      <w:r w:rsidRPr="005370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Прием в магистратуру </w:t>
      </w:r>
      <w:r w:rsidRPr="00537068">
        <w:rPr>
          <w:rFonts w:ascii="Times New Roman" w:hAnsi="Times New Roman" w:cs="Times New Roman"/>
          <w:b/>
          <w:sz w:val="28"/>
          <w:szCs w:val="28"/>
          <w:lang w:val="en-US"/>
        </w:rPr>
        <w:t>MBA</w:t>
      </w:r>
      <w:r w:rsidRPr="00537068">
        <w:rPr>
          <w:rFonts w:ascii="Times New Roman" w:hAnsi="Times New Roman" w:cs="Times New Roman"/>
          <w:b/>
          <w:sz w:val="28"/>
          <w:szCs w:val="28"/>
        </w:rPr>
        <w:t>/</w:t>
      </w:r>
      <w:r w:rsidRPr="00537068">
        <w:rPr>
          <w:rFonts w:ascii="Times New Roman" w:hAnsi="Times New Roman" w:cs="Times New Roman"/>
          <w:b/>
          <w:sz w:val="28"/>
          <w:szCs w:val="28"/>
          <w:lang w:val="en-US"/>
        </w:rPr>
        <w:t>EMBA</w:t>
      </w:r>
      <w:r w:rsidRPr="00E05A45">
        <w:rPr>
          <w:rFonts w:ascii="Times New Roman" w:hAnsi="Times New Roman" w:cs="Times New Roman"/>
          <w:sz w:val="28"/>
          <w:szCs w:val="28"/>
        </w:rPr>
        <w:t xml:space="preserve"> проводится по результатам собеседования в МУА</w:t>
      </w:r>
      <w:r w:rsidRPr="00E05A45">
        <w:rPr>
          <w:rFonts w:ascii="Times New Roman" w:hAnsi="Times New Roman" w:cs="Times New Roman"/>
          <w:sz w:val="28"/>
          <w:szCs w:val="28"/>
          <w:lang w:val="kk-KZ"/>
        </w:rPr>
        <w:t xml:space="preserve"> без сдачи комплексного тестирования:</w:t>
      </w:r>
    </w:p>
    <w:p w:rsidR="0018630A" w:rsidRPr="00E05A45" w:rsidRDefault="0018630A" w:rsidP="0018630A">
      <w:pPr>
        <w:spacing w:after="18" w:line="249" w:lineRule="auto"/>
        <w:ind w:left="1068" w:right="202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- </w:t>
      </w:r>
      <w:r w:rsidRPr="00E05A45">
        <w:rPr>
          <w:rFonts w:ascii="Times New Roman" w:hAnsi="Times New Roman" w:cs="Times New Roman"/>
          <w:sz w:val="28"/>
          <w:szCs w:val="28"/>
          <w:lang w:val="kk-KZ"/>
        </w:rPr>
        <w:t xml:space="preserve">7М10122 </w:t>
      </w:r>
      <w:r w:rsidRPr="00E05A45">
        <w:rPr>
          <w:rFonts w:ascii="Times New Roman" w:hAnsi="Times New Roman" w:cs="Times New Roman"/>
          <w:sz w:val="28"/>
          <w:szCs w:val="28"/>
          <w:lang w:val="en-US"/>
        </w:rPr>
        <w:t>MBA</w:t>
      </w:r>
      <w:r w:rsidRPr="00E05A45">
        <w:rPr>
          <w:rFonts w:ascii="Times New Roman" w:hAnsi="Times New Roman" w:cs="Times New Roman"/>
          <w:sz w:val="28"/>
          <w:szCs w:val="28"/>
        </w:rPr>
        <w:t xml:space="preserve"> «Менеджмент в здравоохранении» - 2 года</w:t>
      </w:r>
    </w:p>
    <w:p w:rsidR="0018630A" w:rsidRPr="00E05A45" w:rsidRDefault="0018630A" w:rsidP="0018630A">
      <w:pPr>
        <w:spacing w:after="18" w:line="249" w:lineRule="auto"/>
        <w:ind w:left="1068" w:right="202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- </w:t>
      </w:r>
      <w:r w:rsidRPr="00E05A45">
        <w:rPr>
          <w:rFonts w:ascii="Times New Roman" w:hAnsi="Times New Roman" w:cs="Times New Roman"/>
          <w:sz w:val="28"/>
          <w:szCs w:val="28"/>
          <w:lang w:val="kk-KZ"/>
        </w:rPr>
        <w:t xml:space="preserve">7М10127 </w:t>
      </w:r>
      <w:r w:rsidRPr="00E05A45">
        <w:rPr>
          <w:rFonts w:ascii="Times New Roman" w:hAnsi="Times New Roman" w:cs="Times New Roman"/>
          <w:sz w:val="28"/>
          <w:szCs w:val="28"/>
          <w:lang w:val="en-US"/>
        </w:rPr>
        <w:t>EMBA</w:t>
      </w:r>
      <w:r w:rsidRPr="00E05A45">
        <w:rPr>
          <w:rFonts w:ascii="Times New Roman" w:hAnsi="Times New Roman" w:cs="Times New Roman"/>
          <w:sz w:val="28"/>
          <w:szCs w:val="28"/>
        </w:rPr>
        <w:t xml:space="preserve"> «Госпитальный менеджмент» - 1 год</w:t>
      </w:r>
    </w:p>
    <w:p w:rsidR="00802ABF" w:rsidRPr="005C6294" w:rsidRDefault="0018630A" w:rsidP="005C6294">
      <w:pPr>
        <w:spacing w:after="18" w:line="249" w:lineRule="auto"/>
        <w:ind w:right="2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294">
        <w:rPr>
          <w:rFonts w:ascii="Times New Roman" w:hAnsi="Times New Roman" w:cs="Times New Roman"/>
          <w:b/>
          <w:sz w:val="28"/>
          <w:szCs w:val="28"/>
        </w:rPr>
        <w:t>Присуждаемая степень – магистр делового администрирования</w:t>
      </w:r>
    </w:p>
    <w:p w:rsidR="005C6294" w:rsidRDefault="005C6294" w:rsidP="00802ABF">
      <w:pPr>
        <w:spacing w:after="18" w:line="249" w:lineRule="auto"/>
        <w:ind w:right="202"/>
        <w:jc w:val="both"/>
        <w:rPr>
          <w:rFonts w:ascii="Times New Roman" w:hAnsi="Times New Roman" w:cs="Times New Roman"/>
          <w:sz w:val="28"/>
          <w:szCs w:val="28"/>
        </w:rPr>
      </w:pPr>
    </w:p>
    <w:p w:rsidR="005C6294" w:rsidRPr="00E05A45" w:rsidRDefault="005C6294" w:rsidP="005C6294">
      <w:pPr>
        <w:spacing w:after="18" w:line="249" w:lineRule="auto"/>
        <w:ind w:right="202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05A45">
        <w:rPr>
          <w:rFonts w:ascii="Times New Roman" w:hAnsi="Times New Roman" w:cs="Times New Roman"/>
          <w:sz w:val="28"/>
          <w:szCs w:val="28"/>
          <w:lang w:val="kk-KZ"/>
        </w:rPr>
        <w:t>Стоимост</w:t>
      </w:r>
      <w:r>
        <w:rPr>
          <w:rFonts w:ascii="Times New Roman" w:hAnsi="Times New Roman" w:cs="Times New Roman"/>
          <w:sz w:val="28"/>
          <w:szCs w:val="28"/>
          <w:lang w:val="kk-KZ"/>
        </w:rPr>
        <w:t>ь обучения согласно Прейскуранту</w:t>
      </w:r>
      <w:r w:rsidRPr="00E05A45">
        <w:rPr>
          <w:rFonts w:ascii="Times New Roman" w:hAnsi="Times New Roman" w:cs="Times New Roman"/>
          <w:sz w:val="28"/>
          <w:szCs w:val="28"/>
          <w:lang w:val="kk-KZ"/>
        </w:rPr>
        <w:t xml:space="preserve"> платных образовательных услуг МУА </w:t>
      </w:r>
      <w:r w:rsidRPr="00E05A45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hyperlink r:id="rId7" w:history="1">
        <w:r w:rsidRPr="00E05A45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lang w:val="kk-KZ"/>
          </w:rPr>
          <w:t>https://amu.edu.kz/upload/iblock/875/875b18b7d7964931d1f846d83f90cf7a.pdf</w:t>
        </w:r>
      </w:hyperlink>
      <w:r w:rsidRPr="00E05A45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5C6294" w:rsidRPr="005C6294" w:rsidRDefault="005C6294" w:rsidP="00802ABF">
      <w:pPr>
        <w:spacing w:after="18" w:line="249" w:lineRule="auto"/>
        <w:ind w:right="2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4566" w:rsidRPr="00E05A45" w:rsidRDefault="00802ABF" w:rsidP="00802ABF">
      <w:pPr>
        <w:spacing w:after="18" w:line="249" w:lineRule="auto"/>
        <w:ind w:right="202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ab/>
        <w:t xml:space="preserve">Подробную информацию можно получить у представителей приемной комиссии по телефонам: </w:t>
      </w:r>
    </w:p>
    <w:p w:rsidR="00D737DD" w:rsidRPr="00E05A45" w:rsidRDefault="00D737DD" w:rsidP="00D737DD">
      <w:pPr>
        <w:spacing w:after="0" w:line="240" w:lineRule="auto"/>
        <w:ind w:right="20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5A45">
        <w:rPr>
          <w:rFonts w:ascii="Times New Roman" w:hAnsi="Times New Roman" w:cs="Times New Roman"/>
          <w:sz w:val="28"/>
          <w:szCs w:val="28"/>
          <w:lang w:val="kk-KZ"/>
        </w:rPr>
        <w:t>Раисова Карлыгаш Аскеровна - 8 701- 523-00-85</w:t>
      </w:r>
    </w:p>
    <w:p w:rsidR="00D737DD" w:rsidRPr="00E05A45" w:rsidRDefault="00D737DD" w:rsidP="00D737DD">
      <w:pPr>
        <w:spacing w:after="0" w:line="240" w:lineRule="auto"/>
        <w:ind w:right="2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Сүлейменова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Қалдыбекқызы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> – 8778-357-94-57</w:t>
      </w:r>
    </w:p>
    <w:p w:rsidR="00D737DD" w:rsidRPr="00E05A45" w:rsidRDefault="00D737DD" w:rsidP="00D737DD">
      <w:pPr>
        <w:spacing w:after="0" w:line="240" w:lineRule="auto"/>
        <w:ind w:right="2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Амирсеитова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Фарида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Толебековна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– 8778-985-30-95</w:t>
      </w:r>
    </w:p>
    <w:p w:rsidR="00D737DD" w:rsidRPr="00E05A45" w:rsidRDefault="00D737DD" w:rsidP="00D737DD">
      <w:pPr>
        <w:spacing w:after="0" w:line="240" w:lineRule="auto"/>
        <w:ind w:right="202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ABF" w:rsidRPr="00E05A45" w:rsidRDefault="00802ABF" w:rsidP="00802ABF">
      <w:pPr>
        <w:spacing w:after="18" w:line="249" w:lineRule="auto"/>
        <w:ind w:right="202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А также на странице «Поступающим» на официальном сайте МУА по ссылке </w:t>
      </w:r>
      <w:hyperlink r:id="rId8" w:history="1">
        <w:r w:rsidR="00B14566" w:rsidRPr="00E05A4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https://amu.edu.kz/ru/poslevuzovskoe-obrazovanie/magistratura/magistratura-dlya-postupayushchikh/</w:t>
        </w:r>
      </w:hyperlink>
    </w:p>
    <w:p w:rsidR="00B14566" w:rsidRPr="00E05A45" w:rsidRDefault="00B14566" w:rsidP="00802ABF">
      <w:pPr>
        <w:spacing w:after="18" w:line="249" w:lineRule="auto"/>
        <w:ind w:right="202"/>
        <w:jc w:val="both"/>
        <w:rPr>
          <w:rFonts w:ascii="Times New Roman" w:hAnsi="Times New Roman" w:cs="Times New Roman"/>
          <w:sz w:val="28"/>
          <w:szCs w:val="28"/>
        </w:rPr>
      </w:pPr>
    </w:p>
    <w:p w:rsidR="0018630A" w:rsidRPr="00E05A45" w:rsidRDefault="0018630A" w:rsidP="00186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*** Важно!!!  </w:t>
      </w:r>
    </w:p>
    <w:p w:rsidR="0018630A" w:rsidRPr="00E05A45" w:rsidRDefault="0018630A" w:rsidP="0018630A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5A4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магистратуре по научно-педагогическому направлению реализуются образовательные программы послевузовского образования по подготовке научных и научно-педагогических кадров для колледжей, вузов и научных организаций, обладающих углубленной научно-педагогической и исследовательской подготовкой. </w:t>
      </w:r>
    </w:p>
    <w:p w:rsidR="0018630A" w:rsidRPr="00E05A45" w:rsidRDefault="0018630A" w:rsidP="0018630A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8630A" w:rsidRPr="00E05A45" w:rsidRDefault="0018630A" w:rsidP="0018630A">
      <w:pPr>
        <w:pStyle w:val="a8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05A4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магистратуре по профильному направлению реализуются образовательные программы послевузовского образования по подготовке врачей, управленческих кадров и экспертов для системы здравоохранения. </w:t>
      </w:r>
    </w:p>
    <w:p w:rsidR="00071253" w:rsidRPr="00E05A45" w:rsidRDefault="00071253" w:rsidP="00071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68" w:rsidRDefault="00537068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7068" w:rsidRDefault="00537068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38F2" w:rsidRPr="00537068" w:rsidRDefault="00537068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706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2023 жылғы 25 қазаннан 10 қарашаға дейін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="002C38F2" w:rsidRPr="00537068">
        <w:rPr>
          <w:rFonts w:ascii="Times New Roman" w:hAnsi="Times New Roman" w:cs="Times New Roman"/>
          <w:b/>
          <w:sz w:val="28"/>
          <w:szCs w:val="28"/>
          <w:lang w:val="kk-KZ"/>
        </w:rPr>
        <w:t>агистратураның білім беру бағдарламалары бойынша қысқы оқуға құжаттар қабылданады</w:t>
      </w:r>
    </w:p>
    <w:p w:rsidR="002C38F2" w:rsidRPr="00537068" w:rsidRDefault="002C38F2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37DD" w:rsidRDefault="00D737DD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5A45">
        <w:rPr>
          <w:rFonts w:ascii="Times New Roman" w:hAnsi="Times New Roman" w:cs="Times New Roman"/>
          <w:b/>
          <w:sz w:val="28"/>
          <w:szCs w:val="28"/>
        </w:rPr>
        <w:t>Құрметті</w:t>
      </w:r>
      <w:proofErr w:type="spellEnd"/>
      <w:r w:rsidRPr="00E05A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b/>
          <w:sz w:val="28"/>
          <w:szCs w:val="28"/>
        </w:rPr>
        <w:t>үміткерлер</w:t>
      </w:r>
      <w:proofErr w:type="spellEnd"/>
      <w:r w:rsidRPr="00E05A45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F2565B" w:rsidRPr="00E05A45" w:rsidRDefault="00F2565B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7DD" w:rsidRPr="00E05A45" w:rsidRDefault="00D737DD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қағидала</w:t>
      </w:r>
      <w:r w:rsidR="006C6EC8">
        <w:rPr>
          <w:rFonts w:ascii="Times New Roman" w:hAnsi="Times New Roman" w:cs="Times New Roman"/>
          <w:sz w:val="28"/>
          <w:szCs w:val="28"/>
        </w:rPr>
        <w:t>рына</w:t>
      </w:r>
      <w:proofErr w:type="spellEnd"/>
      <w:r w:rsidR="006C6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EC8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6C6EC8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="006C6EC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6C6EC8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="006C6EC8">
        <w:rPr>
          <w:rFonts w:ascii="Times New Roman" w:hAnsi="Times New Roman" w:cs="Times New Roman"/>
          <w:sz w:val="28"/>
          <w:szCs w:val="28"/>
        </w:rPr>
        <w:t>қазан</w:t>
      </w:r>
      <w:proofErr w:type="spellEnd"/>
      <w:r w:rsidR="006C6E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5A45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қараша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магистратураның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>.</w:t>
      </w:r>
    </w:p>
    <w:p w:rsidR="00D737DD" w:rsidRPr="00E05A45" w:rsidRDefault="00D737DD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Магистратураға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үміткерлер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қазаны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мен 10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қарашасы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тестілеуге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>.</w:t>
      </w:r>
    </w:p>
    <w:p w:rsidR="00D737DD" w:rsidRPr="00E05A45" w:rsidRDefault="00D737DD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A4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>:</w:t>
      </w:r>
    </w:p>
    <w:p w:rsidR="00D737DD" w:rsidRPr="00E05A45" w:rsidRDefault="00D737DD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- app.testcenter.kz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сайтына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кіріңіз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интерфейс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таңдаңыз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37DD" w:rsidRPr="00E05A45" w:rsidRDefault="00D737DD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тіркелу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орталығынан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хатта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поштаны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737DD" w:rsidRPr="00E05A45" w:rsidRDefault="00D737DD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логин мен пароль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кіру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(логин мен пароль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хатты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>);</w:t>
      </w:r>
    </w:p>
    <w:p w:rsidR="00D737DD" w:rsidRPr="00E05A45" w:rsidRDefault="00D737DD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 - ЖСН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жә</w:t>
      </w:r>
      <w:r w:rsidR="00F2565B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F2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65B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="00F2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65B">
        <w:rPr>
          <w:rFonts w:ascii="Times New Roman" w:hAnsi="Times New Roman" w:cs="Times New Roman"/>
          <w:sz w:val="28"/>
          <w:szCs w:val="28"/>
        </w:rPr>
        <w:t>батырмасын</w:t>
      </w:r>
      <w:proofErr w:type="spellEnd"/>
      <w:r w:rsidR="00F2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65B">
        <w:rPr>
          <w:rFonts w:ascii="Times New Roman" w:hAnsi="Times New Roman" w:cs="Times New Roman"/>
          <w:sz w:val="28"/>
          <w:szCs w:val="28"/>
        </w:rPr>
        <w:t>басыңыз</w:t>
      </w:r>
      <w:proofErr w:type="spellEnd"/>
      <w:r w:rsidR="00F2565B">
        <w:rPr>
          <w:rFonts w:ascii="Times New Roman" w:hAnsi="Times New Roman" w:cs="Times New Roman"/>
          <w:sz w:val="28"/>
          <w:szCs w:val="28"/>
        </w:rPr>
        <w:t xml:space="preserve"> (Т.</w:t>
      </w:r>
      <w:r w:rsidRPr="00E05A4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05A45">
        <w:rPr>
          <w:rFonts w:ascii="Times New Roman" w:hAnsi="Times New Roman" w:cs="Times New Roman"/>
          <w:sz w:val="28"/>
          <w:szCs w:val="28"/>
        </w:rPr>
        <w:t>.</w:t>
      </w:r>
      <w:r w:rsidRPr="00E05A45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E05A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нөмірін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37DD" w:rsidRPr="00E05A45" w:rsidRDefault="00D737DD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- </w:t>
      </w:r>
      <w:r w:rsidR="006C6EC8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беру</w:t>
      </w:r>
      <w:r w:rsidR="006C6EC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қойындысына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өтіп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, </w:t>
      </w:r>
      <w:r w:rsidR="006C6EC8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C6EC8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таңдаңыз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>;</w:t>
      </w:r>
    </w:p>
    <w:p w:rsidR="00D737DD" w:rsidRPr="00E05A45" w:rsidRDefault="00D737DD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тестілеудің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түрін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37DD" w:rsidRPr="00E05A45" w:rsidRDefault="00D737DD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37DD" w:rsidRPr="00E05A45" w:rsidRDefault="00D737DD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- КТ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ережелерімен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танысуды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37DD" w:rsidRPr="00E05A45" w:rsidRDefault="00D737DD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таңдап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>.</w:t>
      </w:r>
    </w:p>
    <w:p w:rsidR="00D737DD" w:rsidRPr="00E05A45" w:rsidRDefault="00D737DD" w:rsidP="00D7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кезеңдерден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өткеннен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>!».</w:t>
      </w:r>
    </w:p>
    <w:p w:rsidR="00D737DD" w:rsidRPr="00E05A45" w:rsidRDefault="00D737DD" w:rsidP="000B54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түсуші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қаласын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таңдайды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>.</w:t>
      </w:r>
      <w:r w:rsidRPr="00E05A45"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Өтініштерді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базасы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жабылғаннан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бағдарламаларының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таңдалған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өзгертілмейді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Тестілеуді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түсушінің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кабинетінде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7DD" w:rsidRPr="00E05A45" w:rsidRDefault="00D737DD" w:rsidP="00D73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7DD" w:rsidRPr="00E05A45" w:rsidRDefault="00D737DD" w:rsidP="00D73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тестілеуге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мыналар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>:</w:t>
      </w:r>
    </w:p>
    <w:p w:rsidR="00D737DD" w:rsidRPr="00E05A45" w:rsidRDefault="00D737DD" w:rsidP="00D73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A45">
        <w:rPr>
          <w:rFonts w:ascii="Times New Roman" w:hAnsi="Times New Roman" w:cs="Times New Roman"/>
          <w:sz w:val="28"/>
          <w:szCs w:val="28"/>
        </w:rPr>
        <w:t>Ғылыми-педагогикалық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магистратура:</w:t>
      </w:r>
    </w:p>
    <w:p w:rsidR="00D737DD" w:rsidRPr="00E05A45" w:rsidRDefault="00D737DD" w:rsidP="00D73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Тест (IELTS 6.0,</w:t>
      </w:r>
      <w:r w:rsidR="005C62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5A45">
        <w:rPr>
          <w:rFonts w:ascii="Times New Roman" w:hAnsi="Times New Roman" w:cs="Times New Roman"/>
          <w:sz w:val="28"/>
          <w:szCs w:val="28"/>
        </w:rPr>
        <w:t>TOEFL (IBT 60, PBT 498)</w:t>
      </w:r>
      <w:r w:rsidRPr="00E05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65CD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565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CD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="00565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CD2">
        <w:rPr>
          <w:rFonts w:ascii="Times New Roman" w:hAnsi="Times New Roman" w:cs="Times New Roman"/>
          <w:sz w:val="28"/>
          <w:szCs w:val="28"/>
        </w:rPr>
        <w:t>тапсырылмайды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>;</w:t>
      </w:r>
    </w:p>
    <w:p w:rsidR="00D737DD" w:rsidRPr="00E05A45" w:rsidRDefault="00D737DD" w:rsidP="00D73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дайындықты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r w:rsidRPr="00E05A4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05A45">
        <w:rPr>
          <w:rFonts w:ascii="Times New Roman" w:hAnsi="Times New Roman" w:cs="Times New Roman"/>
          <w:sz w:val="28"/>
          <w:szCs w:val="28"/>
        </w:rPr>
        <w:t>ест;</w:t>
      </w:r>
    </w:p>
    <w:p w:rsidR="00D737DD" w:rsidRPr="00E05A45" w:rsidRDefault="00D737DD" w:rsidP="00D73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бейіні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тесттер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>.</w:t>
      </w:r>
    </w:p>
    <w:p w:rsidR="00D737DD" w:rsidRPr="00E05A45" w:rsidRDefault="00D737DD" w:rsidP="00D73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  <w:lang w:val="kk-KZ"/>
        </w:rPr>
        <w:t>Профильді</w:t>
      </w:r>
      <w:r w:rsidRPr="00E05A45">
        <w:rPr>
          <w:rFonts w:ascii="Times New Roman" w:hAnsi="Times New Roman" w:cs="Times New Roman"/>
          <w:sz w:val="28"/>
          <w:szCs w:val="28"/>
        </w:rPr>
        <w:t xml:space="preserve"> магистратура:</w:t>
      </w:r>
    </w:p>
    <w:p w:rsidR="00D737DD" w:rsidRPr="00E05A45" w:rsidRDefault="00D737DD" w:rsidP="00D73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>1.</w:t>
      </w:r>
      <w:r w:rsidRPr="00E05A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дайындықты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анықтауға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тест;</w:t>
      </w:r>
    </w:p>
    <w:p w:rsidR="00AD3EB9" w:rsidRPr="00E05A45" w:rsidRDefault="00D737DD" w:rsidP="00D73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A45">
        <w:rPr>
          <w:rFonts w:ascii="Times New Roman" w:hAnsi="Times New Roman" w:cs="Times New Roman"/>
          <w:sz w:val="28"/>
          <w:szCs w:val="28"/>
        </w:rPr>
        <w:t>2.</w:t>
      </w:r>
      <w:r w:rsidRPr="00E05A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r w:rsidRPr="00E05A45">
        <w:rPr>
          <w:rFonts w:ascii="Times New Roman" w:hAnsi="Times New Roman" w:cs="Times New Roman"/>
          <w:sz w:val="28"/>
          <w:szCs w:val="28"/>
          <w:lang w:val="kk-KZ"/>
        </w:rPr>
        <w:t>профилі</w:t>
      </w:r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A45">
        <w:rPr>
          <w:rFonts w:ascii="Times New Roman" w:hAnsi="Times New Roman" w:cs="Times New Roman"/>
          <w:sz w:val="28"/>
          <w:szCs w:val="28"/>
        </w:rPr>
        <w:t>тесттер</w:t>
      </w:r>
      <w:proofErr w:type="spellEnd"/>
      <w:r w:rsidRPr="00E05A45">
        <w:rPr>
          <w:rFonts w:ascii="Times New Roman" w:hAnsi="Times New Roman" w:cs="Times New Roman"/>
          <w:sz w:val="28"/>
          <w:szCs w:val="28"/>
        </w:rPr>
        <w:t>.</w:t>
      </w:r>
    </w:p>
    <w:p w:rsidR="000B54B4" w:rsidRPr="00E05A45" w:rsidRDefault="000B54B4" w:rsidP="00D737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4B4" w:rsidRPr="00565CD2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Ғылыми-педагогикалық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магистратураға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түсушілер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өту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балы – 75 балл,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бейіндік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магистратураға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түсушілер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 балл</w:t>
      </w:r>
      <w:r w:rsidR="00565C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B54B4" w:rsidRPr="00E05A45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4B4" w:rsidRPr="00E05A45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Кешенді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тестілеудің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сынақ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сілтеме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қолжетімді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18630A" w:rsidRPr="00E05A4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https://www.testcenter.kz/ru/postupayushchim-v-magistraturu-i-doktoranturu/kompleksnoe-testirovanie/stoimost-uchastiya-v-kompleksnom-testirovanii-i-perechen-dokumentov/</w:t>
        </w:r>
      </w:hyperlink>
    </w:p>
    <w:p w:rsidR="000B54B4" w:rsidRPr="00E05A45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CD2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5C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</w:t>
      </w:r>
      <w:r w:rsidR="00565CD2"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магистратурасына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қысқы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бағдарламалары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ақылы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7068" w:rsidRDefault="00537068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345" w:type="dxa"/>
        <w:tblLook w:val="04A0" w:firstRow="1" w:lastRow="0" w:firstColumn="1" w:lastColumn="0" w:noHBand="0" w:noVBand="1"/>
      </w:tblPr>
      <w:tblGrid>
        <w:gridCol w:w="559"/>
        <w:gridCol w:w="2413"/>
        <w:gridCol w:w="2759"/>
        <w:gridCol w:w="1427"/>
        <w:gridCol w:w="2187"/>
      </w:tblGrid>
      <w:tr w:rsidR="00537068" w:rsidRPr="00A942E7" w:rsidTr="003749F8">
        <w:tc>
          <w:tcPr>
            <w:tcW w:w="559" w:type="dxa"/>
          </w:tcPr>
          <w:p w:rsidR="00537068" w:rsidRPr="00A942E7" w:rsidRDefault="00537068" w:rsidP="003749F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</w:tcPr>
          <w:p w:rsidR="00537068" w:rsidRPr="00A942E7" w:rsidRDefault="00537068" w:rsidP="0053706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70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 беру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бағдарламалары топтарының атауы</w:t>
            </w:r>
          </w:p>
        </w:tc>
        <w:tc>
          <w:tcPr>
            <w:tcW w:w="2759" w:type="dxa"/>
          </w:tcPr>
          <w:p w:rsidR="00537068" w:rsidRPr="00A942E7" w:rsidRDefault="00537068" w:rsidP="003749F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70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Білім беру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бағдарламалары</w:t>
            </w:r>
          </w:p>
        </w:tc>
        <w:tc>
          <w:tcPr>
            <w:tcW w:w="1427" w:type="dxa"/>
          </w:tcPr>
          <w:p w:rsidR="00537068" w:rsidRPr="00537068" w:rsidRDefault="00537068" w:rsidP="003749F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</w:t>
            </w:r>
          </w:p>
        </w:tc>
        <w:tc>
          <w:tcPr>
            <w:tcW w:w="2187" w:type="dxa"/>
          </w:tcPr>
          <w:p w:rsidR="00537068" w:rsidRPr="00A942E7" w:rsidRDefault="00CD2173" w:rsidP="00CD2173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Берілітін дәрежесі</w:t>
            </w:r>
          </w:p>
        </w:tc>
      </w:tr>
      <w:tr w:rsidR="00537068" w:rsidRPr="00F97379" w:rsidTr="003749F8">
        <w:tc>
          <w:tcPr>
            <w:tcW w:w="9345" w:type="dxa"/>
            <w:gridSpan w:val="5"/>
          </w:tcPr>
          <w:p w:rsidR="00537068" w:rsidRPr="00F97379" w:rsidRDefault="005C6294" w:rsidP="005C6294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БЕЙІНДІК БАҒЫТ</w:t>
            </w:r>
          </w:p>
        </w:tc>
      </w:tr>
      <w:tr w:rsidR="00537068" w:rsidRPr="00A942E7" w:rsidTr="003749F8">
        <w:tc>
          <w:tcPr>
            <w:tcW w:w="559" w:type="dxa"/>
            <w:vMerge w:val="restart"/>
          </w:tcPr>
          <w:p w:rsidR="00537068" w:rsidRPr="00A942E7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  <w:vMerge w:val="restart"/>
          </w:tcPr>
          <w:p w:rsidR="00CD2173" w:rsidRPr="00CD2173" w:rsidRDefault="00537068" w:rsidP="00CD2173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 140 </w:t>
            </w:r>
            <w:r w:rsidR="00CD2173" w:rsidRPr="00CD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Қоғамдық денсаулық</w:t>
            </w:r>
          </w:p>
          <w:p w:rsidR="00CD2173" w:rsidRPr="00CD2173" w:rsidRDefault="00CD2173" w:rsidP="00CD2173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2173" w:rsidRPr="00A942E7" w:rsidRDefault="00CD2173" w:rsidP="00CD2173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37068" w:rsidRPr="00A942E7" w:rsidRDefault="00537068" w:rsidP="00CD2173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</w:tcPr>
          <w:p w:rsidR="00537068" w:rsidRPr="00A942E7" w:rsidRDefault="00537068" w:rsidP="003749F8">
            <w:pPr>
              <w:spacing w:after="18" w:line="249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7М10128 </w:t>
            </w:r>
            <w:proofErr w:type="spellStart"/>
            <w:r w:rsidR="002F0E88" w:rsidRPr="002F0E88">
              <w:rPr>
                <w:rFonts w:ascii="Times New Roman" w:hAnsi="Times New Roman" w:cs="Times New Roman"/>
                <w:sz w:val="24"/>
                <w:szCs w:val="24"/>
              </w:rPr>
              <w:t>Биологиялық</w:t>
            </w:r>
            <w:proofErr w:type="spellEnd"/>
            <w:r w:rsidR="002F0E88" w:rsidRPr="002F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E88" w:rsidRPr="002F0E8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</w:p>
        </w:tc>
        <w:tc>
          <w:tcPr>
            <w:tcW w:w="1427" w:type="dxa"/>
            <w:vMerge w:val="restart"/>
          </w:tcPr>
          <w:p w:rsidR="00537068" w:rsidRPr="00A942E7" w:rsidRDefault="00537068" w:rsidP="003749F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7068" w:rsidRPr="00A942E7" w:rsidRDefault="002F0E88" w:rsidP="003749F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жыл</w:t>
            </w:r>
          </w:p>
        </w:tc>
        <w:tc>
          <w:tcPr>
            <w:tcW w:w="2187" w:type="dxa"/>
            <w:vMerge w:val="restart"/>
          </w:tcPr>
          <w:p w:rsidR="00537068" w:rsidRPr="00A942E7" w:rsidRDefault="00537068" w:rsidP="003749F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7068" w:rsidRPr="00A942E7" w:rsidRDefault="002F0E88" w:rsidP="00CD2173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магистрі</w:t>
            </w:r>
          </w:p>
        </w:tc>
      </w:tr>
      <w:tr w:rsidR="00537068" w:rsidTr="003749F8">
        <w:tc>
          <w:tcPr>
            <w:tcW w:w="559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537068" w:rsidRPr="00A942E7" w:rsidRDefault="00537068" w:rsidP="003749F8">
            <w:pPr>
              <w:spacing w:after="18" w:line="249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7М10124 </w:t>
            </w:r>
            <w:proofErr w:type="spellStart"/>
            <w:r w:rsidR="002F0E88" w:rsidRPr="002F0E88">
              <w:rPr>
                <w:rFonts w:ascii="Times New Roman" w:hAnsi="Times New Roman" w:cs="Times New Roman"/>
                <w:sz w:val="24"/>
                <w:szCs w:val="24"/>
              </w:rPr>
              <w:t>Жаһандық</w:t>
            </w:r>
            <w:proofErr w:type="spellEnd"/>
            <w:r w:rsidR="002F0E88" w:rsidRPr="002F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E88" w:rsidRPr="002F0E88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</w:p>
        </w:tc>
        <w:tc>
          <w:tcPr>
            <w:tcW w:w="1427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37068" w:rsidTr="003749F8">
        <w:tc>
          <w:tcPr>
            <w:tcW w:w="559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537068" w:rsidRPr="00A942E7" w:rsidRDefault="00537068" w:rsidP="003749F8">
            <w:pPr>
              <w:spacing w:after="18" w:line="249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7М10119 </w:t>
            </w:r>
            <w:r w:rsidRPr="00A942E7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</w:p>
          <w:p w:rsidR="00537068" w:rsidRPr="00A942E7" w:rsidRDefault="00537068" w:rsidP="003749F8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37068" w:rsidTr="003749F8">
        <w:tc>
          <w:tcPr>
            <w:tcW w:w="559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537068" w:rsidRPr="00A942E7" w:rsidRDefault="00537068" w:rsidP="003749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7М10116 </w:t>
            </w:r>
            <w:r w:rsidR="002F0E88" w:rsidRPr="002F0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денсаулық сақтау</w:t>
            </w:r>
          </w:p>
          <w:p w:rsidR="00537068" w:rsidRPr="00A942E7" w:rsidRDefault="00537068" w:rsidP="003749F8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F0E88" w:rsidRPr="00A942E7" w:rsidTr="003749F8">
        <w:tc>
          <w:tcPr>
            <w:tcW w:w="559" w:type="dxa"/>
            <w:vMerge w:val="restart"/>
          </w:tcPr>
          <w:p w:rsidR="002F0E88" w:rsidRDefault="002F0E88" w:rsidP="002F0E8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  <w:vMerge w:val="restart"/>
          </w:tcPr>
          <w:p w:rsidR="002F0E88" w:rsidRPr="00FF5149" w:rsidRDefault="002F0E88" w:rsidP="002F0E88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5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 139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сақтаудағы м</w:t>
            </w:r>
            <w:r w:rsidRPr="002F0E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енеджмент</w:t>
            </w:r>
            <w:r w:rsidRPr="00FF5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F0E88" w:rsidRDefault="002F0E88" w:rsidP="002F0E8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2F0E88" w:rsidRPr="00FF5149" w:rsidRDefault="002F0E88" w:rsidP="002F0E8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7М10126 </w:t>
            </w:r>
            <w:proofErr w:type="spellStart"/>
            <w:r w:rsidR="005C6294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2F0E88">
              <w:rPr>
                <w:rFonts w:ascii="Times New Roman" w:hAnsi="Times New Roman" w:cs="Times New Roman"/>
                <w:sz w:val="24"/>
                <w:szCs w:val="24"/>
              </w:rPr>
              <w:t>ициналық</w:t>
            </w:r>
            <w:proofErr w:type="spellEnd"/>
            <w:r w:rsidRPr="002F0E88">
              <w:rPr>
                <w:rFonts w:ascii="Times New Roman" w:hAnsi="Times New Roman" w:cs="Times New Roman"/>
                <w:sz w:val="24"/>
                <w:szCs w:val="24"/>
              </w:rPr>
              <w:t xml:space="preserve"> туризм</w:t>
            </w:r>
          </w:p>
          <w:p w:rsidR="002F0E88" w:rsidRDefault="002F0E88" w:rsidP="002F0E8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  <w:vMerge w:val="restart"/>
          </w:tcPr>
          <w:p w:rsidR="002F0E88" w:rsidRPr="00A942E7" w:rsidRDefault="002F0E88" w:rsidP="002F0E8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E88" w:rsidRPr="00A942E7" w:rsidRDefault="002F0E88" w:rsidP="002F0E8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жыл</w:t>
            </w:r>
          </w:p>
        </w:tc>
        <w:tc>
          <w:tcPr>
            <w:tcW w:w="2187" w:type="dxa"/>
            <w:vMerge w:val="restart"/>
          </w:tcPr>
          <w:p w:rsidR="002F0E88" w:rsidRPr="00A942E7" w:rsidRDefault="002F0E88" w:rsidP="002F0E8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E88" w:rsidRPr="00A942E7" w:rsidRDefault="002F0E88" w:rsidP="002F0E8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магистрі</w:t>
            </w:r>
          </w:p>
        </w:tc>
      </w:tr>
      <w:tr w:rsidR="00537068" w:rsidTr="003749F8">
        <w:tc>
          <w:tcPr>
            <w:tcW w:w="559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537068" w:rsidRPr="00FF5149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7М10125 </w:t>
            </w:r>
            <w:proofErr w:type="spellStart"/>
            <w:r w:rsidR="002F0E88" w:rsidRPr="002F0E88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="002F0E88" w:rsidRPr="002F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E88" w:rsidRPr="002F0E88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="002F0E88" w:rsidRPr="002F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0E88" w:rsidRPr="002F0E88">
              <w:rPr>
                <w:rFonts w:ascii="Times New Roman" w:hAnsi="Times New Roman" w:cs="Times New Roman"/>
                <w:sz w:val="24"/>
                <w:szCs w:val="24"/>
              </w:rPr>
              <w:t>экономикасы</w:t>
            </w:r>
            <w:proofErr w:type="spellEnd"/>
          </w:p>
          <w:p w:rsidR="00537068" w:rsidRPr="00FF5149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37068" w:rsidTr="003749F8">
        <w:tc>
          <w:tcPr>
            <w:tcW w:w="559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537068" w:rsidRPr="00FF5149" w:rsidRDefault="00537068" w:rsidP="003749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7М10121 </w:t>
            </w:r>
            <w:r w:rsidR="002F0E88" w:rsidRPr="002F0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сақтаудағы менеджмент</w:t>
            </w:r>
          </w:p>
          <w:p w:rsidR="00537068" w:rsidRPr="00FF5149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F0E88" w:rsidRPr="00A942E7" w:rsidTr="003749F8">
        <w:tc>
          <w:tcPr>
            <w:tcW w:w="559" w:type="dxa"/>
          </w:tcPr>
          <w:p w:rsidR="002F0E88" w:rsidRDefault="002F0E88" w:rsidP="002F0E8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</w:tcPr>
          <w:p w:rsidR="002F0E88" w:rsidRPr="00F97379" w:rsidRDefault="002F0E88" w:rsidP="002F0E88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3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 144 «Медицина»</w:t>
            </w:r>
          </w:p>
          <w:p w:rsidR="002F0E88" w:rsidRDefault="002F0E88" w:rsidP="002F0E8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2F0E88" w:rsidRPr="00F97379" w:rsidRDefault="002F0E88" w:rsidP="002F0E8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7М10113 </w:t>
            </w:r>
            <w:proofErr w:type="spellStart"/>
            <w:r w:rsidRPr="002F0E88"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proofErr w:type="spellEnd"/>
            <w:r w:rsidRPr="002F0E8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</w:t>
            </w:r>
          </w:p>
          <w:p w:rsidR="002F0E88" w:rsidRDefault="002F0E88" w:rsidP="002F0E8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27" w:type="dxa"/>
          </w:tcPr>
          <w:p w:rsidR="002F0E88" w:rsidRPr="00A942E7" w:rsidRDefault="002F0E88" w:rsidP="002F0E8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E88" w:rsidRPr="00A942E7" w:rsidRDefault="002F0E88" w:rsidP="002F0E8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жыл</w:t>
            </w:r>
          </w:p>
        </w:tc>
        <w:tc>
          <w:tcPr>
            <w:tcW w:w="2187" w:type="dxa"/>
          </w:tcPr>
          <w:p w:rsidR="002F0E88" w:rsidRPr="00A942E7" w:rsidRDefault="002F0E88" w:rsidP="002F0E8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E88" w:rsidRPr="00A942E7" w:rsidRDefault="002F0E88" w:rsidP="002F0E8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сақтау магистрі</w:t>
            </w:r>
          </w:p>
        </w:tc>
      </w:tr>
      <w:tr w:rsidR="00537068" w:rsidRPr="00F97379" w:rsidTr="003749F8">
        <w:tc>
          <w:tcPr>
            <w:tcW w:w="9345" w:type="dxa"/>
            <w:gridSpan w:val="5"/>
          </w:tcPr>
          <w:p w:rsidR="00537068" w:rsidRPr="00F97379" w:rsidRDefault="005C6294" w:rsidP="003749F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0E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ҒЫЛЫМИ-ПЕДАГОГИКАЛЫҚ БАҒЫТ</w:t>
            </w:r>
          </w:p>
        </w:tc>
      </w:tr>
      <w:tr w:rsidR="00537068" w:rsidRPr="00F97379" w:rsidTr="003749F8">
        <w:tc>
          <w:tcPr>
            <w:tcW w:w="559" w:type="dxa"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</w:tcPr>
          <w:p w:rsidR="00537068" w:rsidRPr="00FF5149" w:rsidRDefault="00537068" w:rsidP="003749F8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5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 139 «</w:t>
            </w:r>
            <w:r w:rsidR="005C6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сақтаудағы м</w:t>
            </w:r>
            <w:r w:rsidR="005C6294" w:rsidRPr="002F0E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енеджмент</w:t>
            </w:r>
            <w:r w:rsidRPr="00FF51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537068" w:rsidRPr="00F97379" w:rsidRDefault="005C6294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7М10123 Медициналық құқық</w:t>
            </w:r>
          </w:p>
          <w:p w:rsidR="00537068" w:rsidRPr="00F97379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</w:tcPr>
          <w:p w:rsidR="00537068" w:rsidRDefault="00537068" w:rsidP="003749F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7068" w:rsidRPr="00A942E7" w:rsidRDefault="005C6294" w:rsidP="003749F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жыл</w:t>
            </w:r>
          </w:p>
        </w:tc>
        <w:tc>
          <w:tcPr>
            <w:tcW w:w="2187" w:type="dxa"/>
          </w:tcPr>
          <w:p w:rsidR="00537068" w:rsidRPr="00F97379" w:rsidRDefault="005C6294" w:rsidP="003749F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едицина ғылымдарының магистрі</w:t>
            </w:r>
          </w:p>
        </w:tc>
      </w:tr>
      <w:tr w:rsidR="00537068" w:rsidRPr="00F97379" w:rsidTr="003749F8">
        <w:tc>
          <w:tcPr>
            <w:tcW w:w="559" w:type="dxa"/>
          </w:tcPr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3" w:type="dxa"/>
          </w:tcPr>
          <w:p w:rsidR="00537068" w:rsidRPr="00F97379" w:rsidRDefault="00537068" w:rsidP="003749F8">
            <w:pPr>
              <w:spacing w:after="18" w:line="249" w:lineRule="auto"/>
              <w:ind w:right="20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3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 144 «Медицина»</w:t>
            </w:r>
          </w:p>
          <w:p w:rsidR="00537068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59" w:type="dxa"/>
          </w:tcPr>
          <w:p w:rsidR="00537068" w:rsidRPr="00F97379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7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7М10110 </w:t>
            </w:r>
            <w:r w:rsidRPr="00F97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Нутрициология</w:t>
            </w:r>
          </w:p>
          <w:p w:rsidR="00537068" w:rsidRPr="00F97379" w:rsidRDefault="00537068" w:rsidP="003749F8">
            <w:pPr>
              <w:spacing w:after="18" w:line="249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7" w:type="dxa"/>
          </w:tcPr>
          <w:p w:rsidR="00537068" w:rsidRDefault="00537068" w:rsidP="003749F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7068" w:rsidRPr="00A942E7" w:rsidRDefault="005C6294" w:rsidP="003749F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жыл</w:t>
            </w:r>
          </w:p>
        </w:tc>
        <w:tc>
          <w:tcPr>
            <w:tcW w:w="2187" w:type="dxa"/>
          </w:tcPr>
          <w:p w:rsidR="00537068" w:rsidRPr="00F97379" w:rsidRDefault="00537068" w:rsidP="003749F8">
            <w:pPr>
              <w:spacing w:after="18" w:line="249" w:lineRule="auto"/>
              <w:ind w:right="20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C6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едицина ғылымдарының магистрі</w:t>
            </w:r>
          </w:p>
        </w:tc>
      </w:tr>
    </w:tbl>
    <w:p w:rsidR="00537068" w:rsidRPr="00E05A45" w:rsidRDefault="00537068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294" w:rsidRDefault="005C629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4B4" w:rsidRPr="00E05A45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MBA / EMBA </w:t>
      </w:r>
      <w:proofErr w:type="spellStart"/>
      <w:r w:rsidRPr="005C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магистратурасына</w:t>
      </w:r>
      <w:proofErr w:type="spellEnd"/>
      <w:r w:rsidRPr="005C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қабылдау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65C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</w:t>
      </w:r>
      <w:r w:rsidR="00565CD2"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дағы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сұхбат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кешенді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тестілеуден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өтпей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жүргізіледі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54B4" w:rsidRPr="00E05A45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- 7М10122 MBA "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сақтаудағы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A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енеджмент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- 2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</w:p>
    <w:p w:rsidR="000B54B4" w:rsidRPr="00E05A45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- 7М10127 EMBA "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Госпитальдық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менеджмент" - 1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</w:p>
    <w:p w:rsidR="000B54B4" w:rsidRPr="005C6294" w:rsidRDefault="00E05A45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Берілетін</w:t>
      </w:r>
      <w:proofErr w:type="spellEnd"/>
      <w:r w:rsidRPr="005C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дәреже-іскерлік</w:t>
      </w:r>
      <w:proofErr w:type="spellEnd"/>
      <w:r w:rsidRPr="005C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әкімшілендіру</w:t>
      </w:r>
      <w:proofErr w:type="spellEnd"/>
      <w:r w:rsidRPr="005C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магистрі</w:t>
      </w:r>
      <w:proofErr w:type="spellEnd"/>
    </w:p>
    <w:p w:rsidR="005C6294" w:rsidRDefault="005C629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294" w:rsidRDefault="005C6294" w:rsidP="005C6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</w:t>
      </w:r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ақылы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қызметтері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A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рейскурантына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құны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0" w:history="1">
        <w:r w:rsidRPr="00E05A4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https://amu.edu.kz/upload/iblock/875/875b18b7d7964931d1f846d83f90cf7a.pdf</w:t>
        </w:r>
      </w:hyperlink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6294" w:rsidRPr="00E05A45" w:rsidRDefault="005C629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A45" w:rsidRPr="00E05A45" w:rsidRDefault="00E05A45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4B4" w:rsidRPr="00E05A45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комиссиясының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өкілдерінен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алуға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B54B4" w:rsidRPr="00E05A45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Раисова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Қарлығаш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Әскерқызы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5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8 701- 523-00-85</w:t>
      </w:r>
    </w:p>
    <w:p w:rsidR="000B54B4" w:rsidRPr="00E05A45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Сүлейменова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Роза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Қалдыбекқызы</w:t>
      </w:r>
      <w:proofErr w:type="spellEnd"/>
      <w:r w:rsidR="006C1520" w:rsidRPr="006C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5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C1520" w:rsidRPr="006C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8778-357-94-57</w:t>
      </w:r>
    </w:p>
    <w:p w:rsidR="000B54B4" w:rsidRPr="00E05A45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Амирсеитова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Фарида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Төлебекқызы</w:t>
      </w:r>
      <w:proofErr w:type="spellEnd"/>
      <w:r w:rsidR="006C1520" w:rsidRPr="006C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5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C1520" w:rsidRPr="006C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8778-985-30-95</w:t>
      </w:r>
    </w:p>
    <w:p w:rsidR="000B54B4" w:rsidRPr="00E05A45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4B4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5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оқуға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түсушілер</w:t>
      </w:r>
      <w:proofErr w:type="spellEnd"/>
      <w:r w:rsidR="006C15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бетінде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Астана медицина университетінің</w:t>
      </w:r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ресми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сілтеме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E0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E05A4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https://amu.edu.kz/ru/poslevuzovskoe-obrazovanie/magistratura/magistratura-dlya-postupayushchikh/</w:t>
        </w:r>
      </w:hyperlink>
    </w:p>
    <w:p w:rsidR="00E05A45" w:rsidRPr="00E05A45" w:rsidRDefault="00E05A45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4B4" w:rsidRPr="00E05A45" w:rsidRDefault="000B54B4" w:rsidP="000B5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A" w:rsidRDefault="0018630A" w:rsidP="0018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***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Маңызды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!!!  </w:t>
      </w:r>
    </w:p>
    <w:p w:rsidR="0018630A" w:rsidRPr="00E05A45" w:rsidRDefault="0018630A" w:rsidP="005C62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Ғылыми-педагогикалық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бағыт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бойынша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магистратурада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тереңдетілген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ғылыми-педагогикалық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және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зерттеу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даярлығы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бар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колледждер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жоғары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оқу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орындары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мен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ғылыми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ұйымдар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үшін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ғылыми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және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ғылыми-педагогикалық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кадрларды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даярлау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бойынша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жоғары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оқу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орнынан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кейінгі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білім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беру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бағдарламалары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іске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асырылады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8630A" w:rsidRPr="00E05A45" w:rsidRDefault="0018630A" w:rsidP="0018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8630A" w:rsidRPr="00E05A45" w:rsidRDefault="0018630A" w:rsidP="005C62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Магистратурада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5A45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профильді</w:t>
      </w:r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бағыт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бойынша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денсаулық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сақтау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жүйесі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үшін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дәрігерлерді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басқарушы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кадрларды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және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сарапшыларды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даярлау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бойынша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жоғары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оқу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орнынан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кейінгі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білім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беру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бағдарламалары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іске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асырылады</w:t>
      </w:r>
      <w:proofErr w:type="spellEnd"/>
      <w:r w:rsidRPr="00E05A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05A45" w:rsidRPr="004E2E4E" w:rsidRDefault="00E05A45" w:rsidP="00E92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5A45" w:rsidRPr="004E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62CBE"/>
    <w:multiLevelType w:val="hybridMultilevel"/>
    <w:tmpl w:val="E78EDE4E"/>
    <w:lvl w:ilvl="0" w:tplc="00F4D0E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DF086D"/>
    <w:multiLevelType w:val="hybridMultilevel"/>
    <w:tmpl w:val="167E2E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EA564E0"/>
    <w:multiLevelType w:val="hybridMultilevel"/>
    <w:tmpl w:val="EFA87E4A"/>
    <w:lvl w:ilvl="0" w:tplc="0F9662A0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 w15:restartNumberingAfterBreak="0">
    <w:nsid w:val="6BF13B6B"/>
    <w:multiLevelType w:val="hybridMultilevel"/>
    <w:tmpl w:val="6E2AC2B8"/>
    <w:lvl w:ilvl="0" w:tplc="06DA3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FF63B6"/>
    <w:multiLevelType w:val="hybridMultilevel"/>
    <w:tmpl w:val="167E2E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2E2231F"/>
    <w:multiLevelType w:val="hybridMultilevel"/>
    <w:tmpl w:val="167E2E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E7"/>
    <w:rsid w:val="00044F42"/>
    <w:rsid w:val="00071253"/>
    <w:rsid w:val="000808DE"/>
    <w:rsid w:val="000B54B4"/>
    <w:rsid w:val="000D5419"/>
    <w:rsid w:val="000F60C8"/>
    <w:rsid w:val="0018630A"/>
    <w:rsid w:val="001B52F5"/>
    <w:rsid w:val="002A1D76"/>
    <w:rsid w:val="002C38F2"/>
    <w:rsid w:val="002F0E88"/>
    <w:rsid w:val="003217B4"/>
    <w:rsid w:val="003F2AAD"/>
    <w:rsid w:val="0040325C"/>
    <w:rsid w:val="00436D00"/>
    <w:rsid w:val="00447B42"/>
    <w:rsid w:val="004C6C2E"/>
    <w:rsid w:val="004E2E4E"/>
    <w:rsid w:val="004E3BD4"/>
    <w:rsid w:val="00537068"/>
    <w:rsid w:val="00565CD2"/>
    <w:rsid w:val="005C6294"/>
    <w:rsid w:val="006C1520"/>
    <w:rsid w:val="006C6EC8"/>
    <w:rsid w:val="007F559E"/>
    <w:rsid w:val="00802ABF"/>
    <w:rsid w:val="008A4566"/>
    <w:rsid w:val="008A586A"/>
    <w:rsid w:val="008D70F6"/>
    <w:rsid w:val="00922FD4"/>
    <w:rsid w:val="00A776FF"/>
    <w:rsid w:val="00A942E7"/>
    <w:rsid w:val="00AD3EB9"/>
    <w:rsid w:val="00B01AFB"/>
    <w:rsid w:val="00B10782"/>
    <w:rsid w:val="00B14566"/>
    <w:rsid w:val="00BB33AF"/>
    <w:rsid w:val="00BD005F"/>
    <w:rsid w:val="00CD2173"/>
    <w:rsid w:val="00D72704"/>
    <w:rsid w:val="00D737DD"/>
    <w:rsid w:val="00D851E7"/>
    <w:rsid w:val="00E00618"/>
    <w:rsid w:val="00E05A45"/>
    <w:rsid w:val="00E92346"/>
    <w:rsid w:val="00EE47AE"/>
    <w:rsid w:val="00F066BB"/>
    <w:rsid w:val="00F06C72"/>
    <w:rsid w:val="00F2565B"/>
    <w:rsid w:val="00F7327A"/>
    <w:rsid w:val="00F97379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AF2EE-548A-4515-93DA-75E50FB0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3E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1253"/>
    <w:pPr>
      <w:ind w:left="720"/>
      <w:contextualSpacing/>
    </w:pPr>
  </w:style>
  <w:style w:type="character" w:styleId="a6">
    <w:name w:val="Emphasis"/>
    <w:basedOn w:val="a0"/>
    <w:uiPriority w:val="20"/>
    <w:qFormat/>
    <w:rsid w:val="00B10782"/>
    <w:rPr>
      <w:i/>
      <w:iCs/>
    </w:rPr>
  </w:style>
  <w:style w:type="character" w:styleId="a7">
    <w:name w:val="Strong"/>
    <w:basedOn w:val="a0"/>
    <w:uiPriority w:val="22"/>
    <w:qFormat/>
    <w:rsid w:val="00B10782"/>
    <w:rPr>
      <w:b/>
      <w:bCs/>
    </w:rPr>
  </w:style>
  <w:style w:type="paragraph" w:styleId="a8">
    <w:name w:val="No Spacing"/>
    <w:uiPriority w:val="1"/>
    <w:qFormat/>
    <w:rsid w:val="0018630A"/>
    <w:pPr>
      <w:spacing w:after="0" w:line="240" w:lineRule="auto"/>
    </w:pPr>
  </w:style>
  <w:style w:type="table" w:styleId="a9">
    <w:name w:val="Table Grid"/>
    <w:basedOn w:val="a1"/>
    <w:uiPriority w:val="39"/>
    <w:rsid w:val="0044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u.edu.kz/ru/poslevuzovskoe-obrazovanie/magistratura/magistratura-dlya-postupayushchik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mu.edu.kz/upload/iblock/875/875b18b7d7964931d1f846d83f90cf7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stcenter.kz/ru/postupayushchim-v-magistraturu-i-doktoranturu/kompleksnoe-testirovanie/stoimost-uchastiya-v-kompleksnom-testirovanii-i-perechen-dokumentov/" TargetMode="External"/><Relationship Id="rId11" Type="http://schemas.openxmlformats.org/officeDocument/2006/relationships/hyperlink" Target="https://amu.edu.kz/ru/poslevuzovskoe-obrazovanie/magistratura/magistratura-dlya-postupayushchikh/" TargetMode="External"/><Relationship Id="rId5" Type="http://schemas.openxmlformats.org/officeDocument/2006/relationships/hyperlink" Target="http://testcenter.kz/ru/postupayushchim-v-magistraturu-i-doktoranturu/vstupitelnye-ekzameny/podgotovka-pretendentov-k-vstupitelnomu-ekzamenu-po-inostrannym-yazykam-postupayushchim-v-magistratu/index.php" TargetMode="External"/><Relationship Id="rId10" Type="http://schemas.openxmlformats.org/officeDocument/2006/relationships/hyperlink" Target="https://amu.edu.kz/upload/iblock/875/875b18b7d7964931d1f846d83f90cf7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stcenter.kz/ru/postupayushchim-v-magistraturu-i-doktoranturu/kompleksnoe-testirovanie/stoimost-uchastiya-v-kompleksnom-testirovanii-i-perechen-dokum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Амирсеитова</dc:creator>
  <cp:keywords/>
  <dc:description/>
  <cp:lastModifiedBy>Пользователь</cp:lastModifiedBy>
  <cp:revision>3</cp:revision>
  <dcterms:created xsi:type="dcterms:W3CDTF">2023-10-06T05:50:00Z</dcterms:created>
  <dcterms:modified xsi:type="dcterms:W3CDTF">2023-10-06T08:33:00Z</dcterms:modified>
</cp:coreProperties>
</file>