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5E" w:rsidRPr="00D51F9F" w:rsidRDefault="00D51F9F" w:rsidP="00D51F9F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lang w:val="kk-KZ"/>
        </w:rPr>
      </w:pPr>
      <w:r w:rsidRPr="00D51F9F">
        <w:rPr>
          <w:rFonts w:ascii="Times New Roman" w:eastAsia="+mj-ea" w:hAnsi="Times New Roman" w:cs="Times New Roman"/>
          <w:b/>
          <w:bCs/>
          <w:color w:val="000000"/>
          <w:kern w:val="24"/>
        </w:rPr>
        <w:t>План работы ГУП на 2023-24</w:t>
      </w:r>
      <w:r w:rsidRPr="00D51F9F">
        <w:rPr>
          <w:rFonts w:ascii="Times New Roman" w:eastAsia="+mj-ea" w:hAnsi="Times New Roman" w:cs="Times New Roman"/>
          <w:b/>
          <w:bCs/>
          <w:color w:val="000000"/>
          <w:kern w:val="24"/>
          <w:lang w:val="kk-KZ"/>
        </w:rPr>
        <w:t xml:space="preserve"> учебный год</w:t>
      </w:r>
    </w:p>
    <w:tbl>
      <w:tblPr>
        <w:tblW w:w="155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1"/>
        <w:gridCol w:w="9962"/>
        <w:gridCol w:w="1276"/>
        <w:gridCol w:w="1821"/>
        <w:gridCol w:w="1723"/>
      </w:tblGrid>
      <w:tr w:rsidR="00D51F9F" w:rsidRPr="00D51F9F" w:rsidTr="00D51F9F">
        <w:trPr>
          <w:trHeight w:val="319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val="kk-KZ" w:eastAsia="ru-RU"/>
              </w:rPr>
              <w:t>Мероприятие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val="kk-KZ" w:eastAsia="ru-RU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val="kk-KZ" w:eastAsia="ru-RU"/>
              </w:rPr>
              <w:t>Ответственный</w:t>
            </w:r>
          </w:p>
        </w:tc>
      </w:tr>
      <w:tr w:rsidR="00D51F9F" w:rsidRPr="00D51F9F" w:rsidTr="00D51F9F">
        <w:trPr>
          <w:trHeight w:val="216"/>
        </w:trPr>
        <w:tc>
          <w:tcPr>
            <w:tcW w:w="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Отчеты комитета ГУП за 2022-2023 </w:t>
            </w:r>
            <w:proofErr w:type="spellStart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уч.г</w:t>
            </w:r>
            <w:proofErr w:type="spellEnd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план  ГУП</w:t>
            </w:r>
            <w:proofErr w:type="gramEnd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на 2023-2024 </w:t>
            </w:r>
            <w:proofErr w:type="spellStart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уч.г</w:t>
            </w:r>
            <w:proofErr w:type="spellEnd"/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Председатели ГУП</w:t>
            </w:r>
          </w:p>
        </w:tc>
      </w:tr>
      <w:tr w:rsidR="00D51F9F" w:rsidRPr="00D51F9F" w:rsidTr="00D51F9F">
        <w:trPr>
          <w:trHeight w:val="308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Анализ результатов независимой оценки выпускников программ высшего и послевузовского образования 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555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Независимая оценка обучающихся ОП по направлению подготовки Здравоохранение: цель, ожидаемые результаты, формат оценивания, использование результатов оценивания 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537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Итоги приема в магистратуру и докторантуру по направлению «Здравоохранение», предшествующий уровень подготовки для поступающих в магистратуру и докторантуру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264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Обсуждение централизованного приема в резидентуру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256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Разработка профессиональных стандартов в области здравоохранения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675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Независимая оценка обучающихся ОП по направлению подготовки Здравоохранение: согласование спецификаций, списка экспертов, графика экспертизы и аттестации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288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Внесение изменений и дополнений в Классификатор направлений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380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Мониторинг образовательных программ по направлению подготовки «Здравоохранения» ОВПО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557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Показатели внутренней мобильности обучающихся и преподавателей. Развитие мобильности в организациях образования в области здравоохранения.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trHeight w:val="398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Признание результатов обучения формального и неформального обучения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val="kk-KZ"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9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Результаты трудоустройства выпускников 2023 года, анализ обеспеченности кадров здравоохранения РК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Январь 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Обсуждение централизованного приема в резидентуру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Январь 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Независимая оценка выпускников ОП по направлению подготовки Здравоохранение: согласование спецификаций, списка экспертов, графика экспертизы и аттестации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программ по направлению подготовки «Здравоохранения» НИИ, НЦ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Февраль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Централизованный прием в резидентуру: готовность к внедрению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Март 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ГУП и Комитетов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73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Отчет ГУП, обсуждение плана ГУП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108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для внесения изменений и дополнений в НПА в области здравоохранения с учетом анализа и обобщения международного опыта и лучшей практики (как основа для триединства и дуального обучения)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961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протокольных поручений РУМС </w:t>
            </w:r>
            <w:r w:rsidRPr="00D51F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МНВО</w:t>
            </w: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ЦБПиАМ</w:t>
            </w:r>
            <w:proofErr w:type="spellEnd"/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, МЗ РК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  <w:tr w:rsidR="00D51F9F" w:rsidRPr="00D51F9F" w:rsidTr="00D51F9F">
        <w:trPr>
          <w:gridAfter w:val="1"/>
          <w:wAfter w:w="1723" w:type="dxa"/>
          <w:trHeight w:val="812"/>
        </w:trPr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Ответы на обращения физических и юридических лиц по вопросам подготовки кадров здравоохранения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9F" w:rsidRPr="00D51F9F" w:rsidRDefault="00D51F9F" w:rsidP="00D5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F9F">
              <w:rPr>
                <w:rFonts w:ascii="Times New Roman" w:hAnsi="Times New Roman" w:cs="Times New Roman"/>
                <w:sz w:val="20"/>
                <w:szCs w:val="20"/>
              </w:rPr>
              <w:t>Комитет ГУП</w:t>
            </w:r>
          </w:p>
        </w:tc>
      </w:tr>
    </w:tbl>
    <w:p w:rsidR="00D51F9F" w:rsidRDefault="00D51F9F" w:rsidP="00D51F9F"/>
    <w:sectPr w:rsidR="00D51F9F" w:rsidSect="00D5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9"/>
    <w:rsid w:val="00B57E69"/>
    <w:rsid w:val="00D51F9F"/>
    <w:rsid w:val="00F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0640-2FFF-44FD-96DF-CA07A61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Company>csm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Заитуна Хамидулина</dc:creator>
  <cp:keywords/>
  <dc:description/>
  <cp:lastModifiedBy>Заитуна Хамидулина</cp:lastModifiedBy>
  <cp:revision>2</cp:revision>
  <dcterms:created xsi:type="dcterms:W3CDTF">2023-11-15T07:14:00Z</dcterms:created>
  <dcterms:modified xsi:type="dcterms:W3CDTF">2023-11-15T07:18:00Z</dcterms:modified>
</cp:coreProperties>
</file>